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B170" w14:textId="77777777" w:rsidR="00A421BA" w:rsidRPr="006606D3" w:rsidRDefault="000B50D1" w:rsidP="000B50D1">
      <w:pPr>
        <w:pStyle w:val="Title"/>
        <w:jc w:val="center"/>
        <w:rPr>
          <w:b/>
          <w:bCs/>
          <w:sz w:val="40"/>
          <w:u w:val="single"/>
        </w:rPr>
      </w:pPr>
      <w:r w:rsidRPr="006606D3">
        <w:rPr>
          <w:b/>
          <w:bCs/>
          <w:noProof/>
          <w:u w:val="single"/>
        </w:rPr>
        <w:drawing>
          <wp:anchor distT="0" distB="0" distL="114300" distR="114300" simplePos="0" relativeHeight="251658240" behindDoc="0" locked="0" layoutInCell="1" allowOverlap="1" wp14:anchorId="3CE11BC7" wp14:editId="411926E2">
            <wp:simplePos x="0" y="0"/>
            <wp:positionH relativeFrom="column">
              <wp:posOffset>-778510</wp:posOffset>
            </wp:positionH>
            <wp:positionV relativeFrom="paragraph">
              <wp:posOffset>-799465</wp:posOffset>
            </wp:positionV>
            <wp:extent cx="3166281" cy="742532"/>
            <wp:effectExtent l="0" t="0" r="0" b="635"/>
            <wp:wrapNone/>
            <wp:docPr id="2" name="Picture 2" descr="C:\Users\hat43177\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t43177\Desktop\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6281" cy="7425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06D3">
        <w:rPr>
          <w:b/>
          <w:bCs/>
          <w:sz w:val="40"/>
          <w:u w:val="single"/>
        </w:rPr>
        <w:t>FAST FACTS</w:t>
      </w:r>
    </w:p>
    <w:p w14:paraId="4C2116BE" w14:textId="4AD7822F" w:rsidR="00311373" w:rsidRPr="006030B4" w:rsidRDefault="006606D3" w:rsidP="006606D3">
      <w:pPr>
        <w:autoSpaceDE w:val="0"/>
        <w:autoSpaceDN w:val="0"/>
        <w:adjustRightInd w:val="0"/>
        <w:spacing w:after="0" w:line="240" w:lineRule="auto"/>
        <w:rPr>
          <w:rFonts w:cstheme="minorHAnsi"/>
        </w:rPr>
      </w:pPr>
      <w:r w:rsidRPr="006030B4">
        <w:rPr>
          <w:rFonts w:cstheme="minorHAnsi"/>
          <w:b/>
          <w:bCs/>
          <w:u w:val="single"/>
        </w:rPr>
        <w:t>NRG-BR009:</w:t>
      </w:r>
      <w:r w:rsidRPr="006030B4">
        <w:rPr>
          <w:rFonts w:cstheme="minorHAnsi"/>
        </w:rPr>
        <w:t xml:space="preserve"> A Phase III Adjuvant Trial Evaluating the Addition of Adjuvant</w:t>
      </w:r>
      <w:r w:rsidR="006030B4">
        <w:rPr>
          <w:rFonts w:cstheme="minorHAnsi"/>
        </w:rPr>
        <w:t xml:space="preserve"> </w:t>
      </w:r>
      <w:r w:rsidRPr="006030B4">
        <w:rPr>
          <w:rFonts w:cstheme="minorHAnsi"/>
        </w:rPr>
        <w:t>Chemotherapy to Ovarian Function Suppression plus Endocrine Therapy</w:t>
      </w:r>
      <w:r w:rsidR="006030B4">
        <w:rPr>
          <w:rFonts w:cstheme="minorHAnsi"/>
        </w:rPr>
        <w:t xml:space="preserve"> </w:t>
      </w:r>
      <w:r w:rsidRPr="006030B4">
        <w:rPr>
          <w:rFonts w:cstheme="minorHAnsi"/>
        </w:rPr>
        <w:t>in Premenopausal Patients with pN0-1, ER-Positive/HER2-Negative Breast Cancer</w:t>
      </w:r>
      <w:r w:rsidR="006030B4">
        <w:rPr>
          <w:rFonts w:cstheme="minorHAnsi"/>
        </w:rPr>
        <w:t xml:space="preserve"> </w:t>
      </w:r>
      <w:r w:rsidRPr="006030B4">
        <w:rPr>
          <w:rFonts w:cstheme="minorHAnsi"/>
        </w:rPr>
        <w:t>and an Oncotype Recurrence Score ≤ 25 (OFSET).</w:t>
      </w:r>
    </w:p>
    <w:p w14:paraId="343CCC7F" w14:textId="77777777" w:rsidR="006606D3" w:rsidRPr="006030B4" w:rsidRDefault="006606D3" w:rsidP="00311373">
      <w:pPr>
        <w:autoSpaceDE w:val="0"/>
        <w:autoSpaceDN w:val="0"/>
        <w:adjustRightInd w:val="0"/>
        <w:spacing w:after="0" w:line="240" w:lineRule="auto"/>
        <w:rPr>
          <w:rFonts w:cstheme="minorHAnsi"/>
          <w:u w:val="single"/>
        </w:rPr>
      </w:pPr>
    </w:p>
    <w:p w14:paraId="3B388191" w14:textId="37D968B0" w:rsidR="00311373" w:rsidRPr="006030B4" w:rsidRDefault="00311373" w:rsidP="00311373">
      <w:pPr>
        <w:autoSpaceDE w:val="0"/>
        <w:autoSpaceDN w:val="0"/>
        <w:adjustRightInd w:val="0"/>
        <w:spacing w:after="0" w:line="240" w:lineRule="auto"/>
        <w:rPr>
          <w:rFonts w:cstheme="minorHAnsi"/>
          <w:b/>
          <w:bCs/>
          <w:u w:val="single"/>
        </w:rPr>
      </w:pPr>
      <w:r w:rsidRPr="006030B4">
        <w:rPr>
          <w:rFonts w:cstheme="minorHAnsi"/>
          <w:b/>
          <w:bCs/>
          <w:u w:val="single"/>
        </w:rPr>
        <w:t>ELIGIBILITY CRITERIA</w:t>
      </w:r>
    </w:p>
    <w:p w14:paraId="37788732" w14:textId="77777777" w:rsidR="001B093B" w:rsidRPr="006030B4" w:rsidRDefault="001B093B" w:rsidP="00311373">
      <w:pPr>
        <w:autoSpaceDE w:val="0"/>
        <w:autoSpaceDN w:val="0"/>
        <w:adjustRightInd w:val="0"/>
        <w:spacing w:after="0" w:line="240" w:lineRule="auto"/>
        <w:rPr>
          <w:rFonts w:cstheme="minorHAnsi"/>
          <w:b/>
          <w:bCs/>
          <w:u w:val="single"/>
        </w:rPr>
      </w:pPr>
    </w:p>
    <w:p w14:paraId="1246CAD9" w14:textId="3F711FB3" w:rsidR="00741541" w:rsidRPr="006030B4" w:rsidRDefault="001B093B" w:rsidP="001B093B">
      <w:pPr>
        <w:autoSpaceDE w:val="0"/>
        <w:autoSpaceDN w:val="0"/>
        <w:adjustRightInd w:val="0"/>
        <w:spacing w:after="0" w:line="240" w:lineRule="auto"/>
        <w:rPr>
          <w:rFonts w:cstheme="minorHAnsi"/>
          <w:b/>
          <w:bCs/>
          <w:i/>
          <w:iCs/>
        </w:rPr>
      </w:pPr>
      <w:r w:rsidRPr="006030B4">
        <w:rPr>
          <w:rFonts w:cstheme="minorHAnsi"/>
          <w:b/>
          <w:bCs/>
          <w:i/>
          <w:iCs/>
        </w:rPr>
        <w:t>A patient cannot be considered eligible for this study unless ALL of the following</w:t>
      </w:r>
      <w:r w:rsidR="006030B4">
        <w:rPr>
          <w:rFonts w:cstheme="minorHAnsi"/>
          <w:b/>
          <w:bCs/>
          <w:i/>
          <w:iCs/>
        </w:rPr>
        <w:t xml:space="preserve"> </w:t>
      </w:r>
      <w:r w:rsidRPr="006030B4">
        <w:rPr>
          <w:rFonts w:cstheme="minorHAnsi"/>
          <w:b/>
          <w:bCs/>
          <w:i/>
          <w:iCs/>
        </w:rPr>
        <w:t>conditions are met.</w:t>
      </w:r>
    </w:p>
    <w:p w14:paraId="166202B8" w14:textId="77777777" w:rsidR="00B96F33" w:rsidRPr="006030B4" w:rsidRDefault="00B96F33" w:rsidP="00741541">
      <w:pPr>
        <w:autoSpaceDE w:val="0"/>
        <w:autoSpaceDN w:val="0"/>
        <w:adjustRightInd w:val="0"/>
        <w:spacing w:after="0" w:line="240" w:lineRule="auto"/>
        <w:rPr>
          <w:rFonts w:cstheme="minorHAnsi"/>
          <w:b/>
          <w:bCs/>
          <w:u w:val="single"/>
        </w:rPr>
      </w:pPr>
    </w:p>
    <w:p w14:paraId="2F2AC983" w14:textId="5174E214" w:rsidR="001B093B" w:rsidRPr="006030B4" w:rsidRDefault="001B093B" w:rsidP="006030B4">
      <w:pPr>
        <w:autoSpaceDE w:val="0"/>
        <w:autoSpaceDN w:val="0"/>
        <w:adjustRightInd w:val="0"/>
        <w:spacing w:after="0" w:line="240" w:lineRule="auto"/>
        <w:ind w:left="1440" w:hanging="720"/>
        <w:rPr>
          <w:rFonts w:cstheme="minorHAnsi"/>
        </w:rPr>
      </w:pPr>
      <w:r w:rsidRPr="006030B4">
        <w:rPr>
          <w:rFonts w:cstheme="minorHAnsi"/>
          <w:b/>
          <w:bCs/>
        </w:rPr>
        <w:t xml:space="preserve">1. </w:t>
      </w:r>
      <w:r w:rsidRPr="006030B4">
        <w:rPr>
          <w:rFonts w:cstheme="minorHAnsi"/>
          <w:b/>
          <w:bCs/>
        </w:rPr>
        <w:tab/>
      </w:r>
      <w:r w:rsidRPr="006030B4">
        <w:rPr>
          <w:rFonts w:cstheme="minorHAnsi"/>
        </w:rPr>
        <w:t>The patient or a legally authorized representative must provide study-specific informed NRG-BR009 21 Version Date: July 27, 2023</w:t>
      </w:r>
      <w:r w:rsidR="006030B4">
        <w:rPr>
          <w:rFonts w:cstheme="minorHAnsi"/>
        </w:rPr>
        <w:t xml:space="preserve"> </w:t>
      </w:r>
      <w:r w:rsidRPr="006030B4">
        <w:rPr>
          <w:rFonts w:cstheme="minorHAnsi"/>
        </w:rPr>
        <w:t>consent prior to pre-entry and, for patients treated in the U.S., authorization permitting release of personal health information.</w:t>
      </w:r>
    </w:p>
    <w:p w14:paraId="3759D1F4" w14:textId="77777777" w:rsidR="001B093B" w:rsidRPr="006030B4" w:rsidRDefault="001B093B" w:rsidP="001B093B">
      <w:pPr>
        <w:autoSpaceDE w:val="0"/>
        <w:autoSpaceDN w:val="0"/>
        <w:adjustRightInd w:val="0"/>
        <w:spacing w:after="0" w:line="240" w:lineRule="auto"/>
        <w:rPr>
          <w:rFonts w:cstheme="minorHAnsi"/>
        </w:rPr>
      </w:pPr>
    </w:p>
    <w:p w14:paraId="04FA22DC" w14:textId="771A30DB" w:rsidR="001B093B" w:rsidRPr="006030B4" w:rsidRDefault="001B093B" w:rsidP="001B093B">
      <w:pPr>
        <w:autoSpaceDE w:val="0"/>
        <w:autoSpaceDN w:val="0"/>
        <w:adjustRightInd w:val="0"/>
        <w:spacing w:after="0" w:line="240" w:lineRule="auto"/>
        <w:rPr>
          <w:rFonts w:cstheme="minorHAnsi"/>
        </w:rPr>
      </w:pPr>
      <w:r w:rsidRPr="006030B4">
        <w:rPr>
          <w:rFonts w:cstheme="minorHAnsi"/>
        </w:rPr>
        <w:tab/>
        <w:t xml:space="preserve">2. </w:t>
      </w:r>
      <w:r w:rsidRPr="006030B4">
        <w:rPr>
          <w:rFonts w:cstheme="minorHAnsi"/>
        </w:rPr>
        <w:tab/>
        <w:t>Female patients must be ≥ 18 years of age.</w:t>
      </w:r>
    </w:p>
    <w:p w14:paraId="6F7BB71A" w14:textId="77777777" w:rsidR="001B093B" w:rsidRPr="006030B4" w:rsidRDefault="001B093B" w:rsidP="001B093B">
      <w:pPr>
        <w:autoSpaceDE w:val="0"/>
        <w:autoSpaceDN w:val="0"/>
        <w:adjustRightInd w:val="0"/>
        <w:spacing w:after="0" w:line="240" w:lineRule="auto"/>
        <w:rPr>
          <w:rFonts w:cstheme="minorHAnsi"/>
        </w:rPr>
      </w:pPr>
    </w:p>
    <w:p w14:paraId="100BCBDA" w14:textId="321F4CDE" w:rsidR="001B093B" w:rsidRPr="006030B4" w:rsidRDefault="001B093B" w:rsidP="003E0C91">
      <w:pPr>
        <w:autoSpaceDE w:val="0"/>
        <w:autoSpaceDN w:val="0"/>
        <w:adjustRightInd w:val="0"/>
        <w:spacing w:after="0" w:line="240" w:lineRule="auto"/>
        <w:ind w:left="1440" w:hanging="720"/>
        <w:rPr>
          <w:rFonts w:cstheme="minorHAnsi"/>
        </w:rPr>
      </w:pPr>
      <w:r w:rsidRPr="006030B4">
        <w:rPr>
          <w:rFonts w:cstheme="minorHAnsi"/>
        </w:rPr>
        <w:t>3.</w:t>
      </w:r>
      <w:r w:rsidRPr="006030B4">
        <w:rPr>
          <w:rFonts w:cstheme="minorHAnsi"/>
        </w:rPr>
        <w:tab/>
        <w:t xml:space="preserve">Patients must be premenopausal (evidence of functioning ovaries) at the time of </w:t>
      </w:r>
      <w:proofErr w:type="spellStart"/>
      <w:r w:rsidRPr="006030B4">
        <w:rPr>
          <w:rFonts w:cstheme="minorHAnsi"/>
        </w:rPr>
        <w:t>preentry</w:t>
      </w:r>
      <w:proofErr w:type="spellEnd"/>
      <w:r w:rsidRPr="006030B4">
        <w:rPr>
          <w:rFonts w:cstheme="minorHAnsi"/>
        </w:rPr>
        <w:t>.  For study purposes, premenopausal is defined as:</w:t>
      </w:r>
    </w:p>
    <w:p w14:paraId="66EED0F3" w14:textId="34C29D3D" w:rsidR="001B093B" w:rsidRPr="003E0C91" w:rsidRDefault="001B093B" w:rsidP="003E0C91">
      <w:pPr>
        <w:pStyle w:val="ListParagraph"/>
        <w:numPr>
          <w:ilvl w:val="0"/>
          <w:numId w:val="33"/>
        </w:numPr>
        <w:autoSpaceDE w:val="0"/>
        <w:autoSpaceDN w:val="0"/>
        <w:adjustRightInd w:val="0"/>
        <w:spacing w:after="0" w:line="240" w:lineRule="auto"/>
        <w:ind w:left="1800"/>
        <w:rPr>
          <w:rFonts w:cstheme="minorHAnsi"/>
        </w:rPr>
      </w:pPr>
      <w:r w:rsidRPr="003E0C91">
        <w:rPr>
          <w:rFonts w:cstheme="minorHAnsi"/>
        </w:rPr>
        <w:t>Age 50 years or under with spontaneous menses within 12 months; or</w:t>
      </w:r>
    </w:p>
    <w:p w14:paraId="45E048CE" w14:textId="6FE525AA" w:rsidR="001B093B" w:rsidRPr="003E0C91" w:rsidRDefault="001B093B" w:rsidP="003E0C91">
      <w:pPr>
        <w:pStyle w:val="ListParagraph"/>
        <w:numPr>
          <w:ilvl w:val="0"/>
          <w:numId w:val="33"/>
        </w:numPr>
        <w:autoSpaceDE w:val="0"/>
        <w:autoSpaceDN w:val="0"/>
        <w:adjustRightInd w:val="0"/>
        <w:spacing w:after="0" w:line="240" w:lineRule="auto"/>
        <w:ind w:left="1800"/>
        <w:rPr>
          <w:rFonts w:cstheme="minorHAnsi"/>
        </w:rPr>
      </w:pPr>
      <w:r w:rsidRPr="003E0C91">
        <w:rPr>
          <w:rFonts w:cstheme="minorHAnsi"/>
        </w:rPr>
        <w:t>Age &gt; 50-60 years with spontaneous menses within 12 months plus folliclestimulating hormone (FSH) and estradiol levels in the premenopausal range; or</w:t>
      </w:r>
    </w:p>
    <w:p w14:paraId="449D6369" w14:textId="50990E53" w:rsidR="001B093B" w:rsidRPr="003E0C91" w:rsidRDefault="001B093B" w:rsidP="003E0C91">
      <w:pPr>
        <w:pStyle w:val="ListParagraph"/>
        <w:numPr>
          <w:ilvl w:val="0"/>
          <w:numId w:val="33"/>
        </w:numPr>
        <w:autoSpaceDE w:val="0"/>
        <w:autoSpaceDN w:val="0"/>
        <w:adjustRightInd w:val="0"/>
        <w:spacing w:after="0" w:line="240" w:lineRule="auto"/>
        <w:ind w:left="1800"/>
        <w:rPr>
          <w:rFonts w:cstheme="minorHAnsi"/>
        </w:rPr>
      </w:pPr>
      <w:r w:rsidRPr="003E0C91">
        <w:rPr>
          <w:rFonts w:cstheme="minorHAnsi"/>
        </w:rPr>
        <w:t>Patients with amenorrhea due to IUD or prior uterine</w:t>
      </w:r>
      <w:r w:rsidR="006030B4" w:rsidRPr="003E0C91">
        <w:rPr>
          <w:rFonts w:cstheme="minorHAnsi"/>
        </w:rPr>
        <w:t xml:space="preserve"> </w:t>
      </w:r>
      <w:r w:rsidRPr="003E0C91">
        <w:rPr>
          <w:rFonts w:cstheme="minorHAnsi"/>
        </w:rPr>
        <w:t>ablation must have FSH and estradiol levels in the premenopausal range; or</w:t>
      </w:r>
    </w:p>
    <w:p w14:paraId="59DDAE1E" w14:textId="68771C7B" w:rsidR="001B093B" w:rsidRPr="003E0C91" w:rsidRDefault="001B093B" w:rsidP="003E0C91">
      <w:pPr>
        <w:pStyle w:val="ListParagraph"/>
        <w:numPr>
          <w:ilvl w:val="0"/>
          <w:numId w:val="33"/>
        </w:numPr>
        <w:autoSpaceDE w:val="0"/>
        <w:autoSpaceDN w:val="0"/>
        <w:adjustRightInd w:val="0"/>
        <w:spacing w:after="0" w:line="240" w:lineRule="auto"/>
        <w:ind w:left="1800"/>
        <w:rPr>
          <w:rFonts w:cstheme="minorHAnsi"/>
        </w:rPr>
      </w:pPr>
      <w:r w:rsidRPr="003E0C91">
        <w:rPr>
          <w:rFonts w:cstheme="minorHAnsi"/>
        </w:rPr>
        <w:t xml:space="preserve">Patients with prior hysterectomy must have FSH and </w:t>
      </w:r>
      <w:r w:rsidR="006030B4" w:rsidRPr="003E0C91">
        <w:rPr>
          <w:rFonts w:cstheme="minorHAnsi"/>
        </w:rPr>
        <w:t>e</w:t>
      </w:r>
      <w:r w:rsidRPr="003E0C91">
        <w:rPr>
          <w:rFonts w:cstheme="minorHAnsi"/>
        </w:rPr>
        <w:t>stradiol levels in the</w:t>
      </w:r>
      <w:r w:rsidR="00083019" w:rsidRPr="003E0C91">
        <w:rPr>
          <w:rFonts w:cstheme="minorHAnsi"/>
        </w:rPr>
        <w:t xml:space="preserve"> </w:t>
      </w:r>
      <w:r w:rsidRPr="003E0C91">
        <w:rPr>
          <w:rFonts w:cstheme="minorHAnsi"/>
        </w:rPr>
        <w:t>premenopausal range.</w:t>
      </w:r>
    </w:p>
    <w:p w14:paraId="19F722CD" w14:textId="77777777" w:rsidR="00083019" w:rsidRPr="006030B4" w:rsidRDefault="00083019" w:rsidP="003E0C91">
      <w:pPr>
        <w:autoSpaceDE w:val="0"/>
        <w:autoSpaceDN w:val="0"/>
        <w:adjustRightInd w:val="0"/>
        <w:spacing w:after="0" w:line="240" w:lineRule="auto"/>
        <w:ind w:left="1080"/>
        <w:rPr>
          <w:rFonts w:cstheme="minorHAnsi"/>
        </w:rPr>
      </w:pPr>
    </w:p>
    <w:p w14:paraId="2369B104" w14:textId="3231A3B4" w:rsidR="00083019" w:rsidRPr="006030B4" w:rsidRDefault="00083019" w:rsidP="00083019">
      <w:pPr>
        <w:autoSpaceDE w:val="0"/>
        <w:autoSpaceDN w:val="0"/>
        <w:adjustRightInd w:val="0"/>
        <w:spacing w:after="0" w:line="240" w:lineRule="auto"/>
        <w:ind w:left="1440" w:hanging="720"/>
        <w:rPr>
          <w:rFonts w:cstheme="minorHAnsi"/>
        </w:rPr>
      </w:pPr>
      <w:r w:rsidRPr="006030B4">
        <w:rPr>
          <w:rFonts w:cstheme="minorHAnsi"/>
        </w:rPr>
        <w:t>4.</w:t>
      </w:r>
      <w:r w:rsidRPr="006030B4">
        <w:rPr>
          <w:rFonts w:cstheme="minorHAnsi"/>
        </w:rPr>
        <w:tab/>
        <w:t xml:space="preserve">The patient must have an ECOG performance status of ≤ 2 (or </w:t>
      </w:r>
      <w:proofErr w:type="spellStart"/>
      <w:r w:rsidRPr="006030B4">
        <w:rPr>
          <w:rFonts w:cstheme="minorHAnsi"/>
        </w:rPr>
        <w:t>Karnofsky</w:t>
      </w:r>
      <w:proofErr w:type="spellEnd"/>
      <w:r w:rsidRPr="006030B4">
        <w:rPr>
          <w:rFonts w:cstheme="minorHAnsi"/>
        </w:rPr>
        <w:t xml:space="preserve"> ≥ 60%).</w:t>
      </w:r>
    </w:p>
    <w:p w14:paraId="08456115" w14:textId="77777777" w:rsidR="005B4EC6" w:rsidRPr="006030B4" w:rsidRDefault="005B4EC6" w:rsidP="005B4EC6">
      <w:pPr>
        <w:pStyle w:val="ListParagraph"/>
        <w:rPr>
          <w:rFonts w:cstheme="minorHAnsi"/>
        </w:rPr>
      </w:pPr>
    </w:p>
    <w:p w14:paraId="0CAB110F" w14:textId="206B207D" w:rsidR="00083019" w:rsidRPr="006030B4" w:rsidRDefault="00083019" w:rsidP="00083019">
      <w:pPr>
        <w:pStyle w:val="ListParagraph"/>
        <w:ind w:left="1440" w:hanging="720"/>
        <w:rPr>
          <w:rFonts w:cstheme="minorHAnsi"/>
        </w:rPr>
      </w:pPr>
      <w:r w:rsidRPr="006030B4">
        <w:rPr>
          <w:rFonts w:cstheme="minorHAnsi"/>
        </w:rPr>
        <w:t>5.</w:t>
      </w:r>
      <w:r w:rsidRPr="006030B4">
        <w:rPr>
          <w:rFonts w:cstheme="minorHAnsi"/>
        </w:rPr>
        <w:tab/>
        <w:t>Patients may have ipsilateral or contralateral synchronous breast cancer if the highest stage tumor meets entry criteria, and the other sites of disease would not require chemotherapy or HER2-directed therapy.</w:t>
      </w:r>
    </w:p>
    <w:p w14:paraId="0D700333" w14:textId="77777777" w:rsidR="00083019" w:rsidRPr="006030B4" w:rsidRDefault="00083019" w:rsidP="00083019">
      <w:pPr>
        <w:pStyle w:val="ListParagraph"/>
        <w:ind w:left="1440" w:hanging="720"/>
        <w:rPr>
          <w:rFonts w:cstheme="minorHAnsi"/>
        </w:rPr>
      </w:pPr>
    </w:p>
    <w:p w14:paraId="2F69C8B4" w14:textId="0363BBE3" w:rsidR="005B4EC6" w:rsidRPr="006030B4" w:rsidRDefault="00083019" w:rsidP="00083019">
      <w:pPr>
        <w:pStyle w:val="ListParagraph"/>
        <w:ind w:left="1440" w:hanging="720"/>
        <w:rPr>
          <w:rFonts w:cstheme="minorHAnsi"/>
        </w:rPr>
      </w:pPr>
      <w:r w:rsidRPr="006030B4">
        <w:rPr>
          <w:rFonts w:cstheme="minorHAnsi"/>
        </w:rPr>
        <w:t>6.</w:t>
      </w:r>
      <w:r w:rsidRPr="006030B4">
        <w:rPr>
          <w:rFonts w:cstheme="minorHAnsi"/>
        </w:rPr>
        <w:tab/>
        <w:t>Patients may have multicentric or multifocal breast cancer if the highest stage tumor meets entry criteria, and the other sites of disease would not require chemotherapy or HER2-directed therapy.</w:t>
      </w:r>
    </w:p>
    <w:p w14:paraId="39D59B8B" w14:textId="77777777" w:rsidR="00083019" w:rsidRPr="006030B4" w:rsidRDefault="00083019" w:rsidP="00083019">
      <w:pPr>
        <w:pStyle w:val="ListParagraph"/>
        <w:ind w:left="1440" w:hanging="720"/>
        <w:rPr>
          <w:rFonts w:cstheme="minorHAnsi"/>
        </w:rPr>
      </w:pPr>
    </w:p>
    <w:p w14:paraId="34F6D8F2" w14:textId="1CD92A5A" w:rsidR="00083019" w:rsidRPr="006030B4" w:rsidRDefault="00083019" w:rsidP="00083019">
      <w:pPr>
        <w:pStyle w:val="ListParagraph"/>
        <w:ind w:left="1440" w:hanging="720"/>
        <w:rPr>
          <w:rFonts w:cstheme="minorHAnsi"/>
        </w:rPr>
      </w:pPr>
      <w:r w:rsidRPr="006030B4">
        <w:rPr>
          <w:rFonts w:cstheme="minorHAnsi"/>
        </w:rPr>
        <w:t>7.</w:t>
      </w:r>
      <w:r w:rsidRPr="006030B4">
        <w:rPr>
          <w:rFonts w:cstheme="minorHAnsi"/>
        </w:rPr>
        <w:tab/>
        <w:t>Patient may have undergone a total mastectomy, skin-sparing mastectomy, nipple-sparing mastectomy, or a lumpectomy.</w:t>
      </w:r>
    </w:p>
    <w:p w14:paraId="551CEE7E" w14:textId="77777777" w:rsidR="007947E8" w:rsidRPr="006030B4" w:rsidRDefault="007947E8" w:rsidP="00083019">
      <w:pPr>
        <w:pStyle w:val="ListParagraph"/>
        <w:ind w:left="1440" w:hanging="720"/>
        <w:rPr>
          <w:rFonts w:cstheme="minorHAnsi"/>
        </w:rPr>
      </w:pPr>
    </w:p>
    <w:p w14:paraId="466E88C7" w14:textId="5D91C3B3" w:rsidR="00BB528E" w:rsidRPr="003E0C91" w:rsidRDefault="007947E8" w:rsidP="003E0C91">
      <w:pPr>
        <w:pStyle w:val="ListParagraph"/>
        <w:ind w:left="1440" w:hanging="720"/>
        <w:rPr>
          <w:rFonts w:cstheme="minorHAnsi"/>
        </w:rPr>
      </w:pPr>
      <w:r w:rsidRPr="006030B4">
        <w:rPr>
          <w:rFonts w:cstheme="minorHAnsi"/>
        </w:rPr>
        <w:t>8.</w:t>
      </w:r>
      <w:r w:rsidRPr="006030B4">
        <w:rPr>
          <w:rFonts w:cstheme="minorHAnsi"/>
        </w:rPr>
        <w:tab/>
        <w:t xml:space="preserve">For patients who undergo a lumpectomy, the margins of the resected specimen or </w:t>
      </w:r>
      <w:proofErr w:type="spellStart"/>
      <w:r w:rsidRPr="006030B4">
        <w:rPr>
          <w:rFonts w:cstheme="minorHAnsi"/>
        </w:rPr>
        <w:t>reexcision</w:t>
      </w:r>
      <w:proofErr w:type="spellEnd"/>
      <w:r w:rsidRPr="006030B4">
        <w:rPr>
          <w:rFonts w:cstheme="minorHAnsi"/>
        </w:rPr>
        <w:t xml:space="preserve"> must be histologically free of invasive tumor and DCIS with no ink on tumor as determined by the local pathologist. If pathologic examination demonstrates tumor at the</w:t>
      </w:r>
      <w:r w:rsidR="006030B4">
        <w:rPr>
          <w:rFonts w:cstheme="minorHAnsi"/>
        </w:rPr>
        <w:t xml:space="preserve"> </w:t>
      </w:r>
      <w:r w:rsidRPr="006030B4">
        <w:rPr>
          <w:rFonts w:cstheme="minorHAnsi"/>
        </w:rPr>
        <w:t xml:space="preserve">line of resection, additional excisions may be performed to obtain clear margins. </w:t>
      </w:r>
      <w:r w:rsidRPr="006030B4">
        <w:rPr>
          <w:rFonts w:cstheme="minorHAnsi"/>
        </w:rPr>
        <w:lastRenderedPageBreak/>
        <w:t xml:space="preserve">Positive posterior margin is allowed if surgeon deems no further resection possible. </w:t>
      </w:r>
      <w:r w:rsidRPr="003E0C91">
        <w:rPr>
          <w:rFonts w:cstheme="minorHAnsi"/>
        </w:rPr>
        <w:t>(Patients with margins positive for LCIS are eligible without additional resection.)</w:t>
      </w:r>
    </w:p>
    <w:p w14:paraId="2B32F90A" w14:textId="3C0DA31D" w:rsidR="008E697E" w:rsidRPr="006030B4" w:rsidRDefault="00BB528E" w:rsidP="003E0C91">
      <w:pPr>
        <w:ind w:left="1440" w:hanging="720"/>
        <w:rPr>
          <w:rFonts w:cstheme="minorHAnsi"/>
        </w:rPr>
      </w:pPr>
      <w:r w:rsidRPr="003E0C91">
        <w:rPr>
          <w:rFonts w:cstheme="minorHAnsi"/>
        </w:rPr>
        <w:t>9.</w:t>
      </w:r>
      <w:r w:rsidRPr="003E0C91">
        <w:rPr>
          <w:rFonts w:cstheme="minorHAnsi"/>
        </w:rPr>
        <w:tab/>
        <w:t>For patients who undergo mastectomy, the margins must be free of residual gross</w:t>
      </w:r>
      <w:r w:rsidRPr="006030B4">
        <w:rPr>
          <w:rFonts w:cstheme="minorHAnsi"/>
        </w:rPr>
        <w:t xml:space="preserve"> tumor.  (Patients with microscopic positive margins are eligible if post-mastectomy RT of the chest wall will be administered.)</w:t>
      </w:r>
    </w:p>
    <w:p w14:paraId="632C77B9" w14:textId="37953DD8" w:rsidR="008E697E" w:rsidRPr="006030B4" w:rsidRDefault="008E697E" w:rsidP="008E697E">
      <w:pPr>
        <w:ind w:left="1440" w:hanging="720"/>
        <w:rPr>
          <w:rFonts w:cstheme="minorHAnsi"/>
        </w:rPr>
      </w:pPr>
      <w:r w:rsidRPr="006030B4">
        <w:rPr>
          <w:rFonts w:cstheme="minorHAnsi"/>
        </w:rPr>
        <w:t>10.</w:t>
      </w:r>
      <w:r w:rsidRPr="006030B4">
        <w:rPr>
          <w:rFonts w:cstheme="minorHAnsi"/>
        </w:rPr>
        <w:tab/>
        <w:t>Patient must have undergone axillary staging with sentinel node biopsy (SNB), targeted axillary dissection (TAD), or axillary lymph node dissection (ALND).</w:t>
      </w:r>
    </w:p>
    <w:p w14:paraId="7476BB31" w14:textId="45D2F335" w:rsidR="00D31C74" w:rsidRPr="006030B4" w:rsidRDefault="00D31C74" w:rsidP="003E0C91">
      <w:pPr>
        <w:spacing w:after="0"/>
        <w:ind w:left="1440" w:hanging="720"/>
        <w:rPr>
          <w:rFonts w:cstheme="minorHAnsi"/>
        </w:rPr>
      </w:pPr>
      <w:r w:rsidRPr="006030B4">
        <w:rPr>
          <w:rFonts w:cstheme="minorHAnsi"/>
        </w:rPr>
        <w:t>11.</w:t>
      </w:r>
      <w:r w:rsidRPr="006030B4">
        <w:rPr>
          <w:rFonts w:cstheme="minorHAnsi"/>
        </w:rPr>
        <w:tab/>
        <w:t>The following staging criteria must be met postoperatively according to AJCC 8th edition criteria:</w:t>
      </w:r>
    </w:p>
    <w:p w14:paraId="1DA0C203" w14:textId="77777777" w:rsidR="003E0C91" w:rsidRPr="003E0C91" w:rsidRDefault="00D31C74" w:rsidP="003E0C91">
      <w:pPr>
        <w:pStyle w:val="ListParagraph"/>
        <w:numPr>
          <w:ilvl w:val="0"/>
          <w:numId w:val="32"/>
        </w:numPr>
        <w:spacing w:after="0"/>
        <w:rPr>
          <w:rFonts w:cstheme="minorHAnsi"/>
        </w:rPr>
      </w:pPr>
      <w:r w:rsidRPr="003E0C91">
        <w:rPr>
          <w:rFonts w:cstheme="minorHAnsi"/>
        </w:rPr>
        <w:t>By pathologic evaluation, primary tumor must be pT1-3. (If N0,    must be T1c or higher.)</w:t>
      </w:r>
    </w:p>
    <w:p w14:paraId="3B5AA839" w14:textId="62FFA23A" w:rsidR="00D31C74" w:rsidRPr="003E0C91" w:rsidRDefault="00D31C74" w:rsidP="003E0C91">
      <w:pPr>
        <w:pStyle w:val="ListParagraph"/>
        <w:numPr>
          <w:ilvl w:val="0"/>
          <w:numId w:val="32"/>
        </w:numPr>
        <w:spacing w:after="0"/>
        <w:rPr>
          <w:rFonts w:cstheme="minorHAnsi"/>
        </w:rPr>
      </w:pPr>
      <w:r w:rsidRPr="003E0C91">
        <w:rPr>
          <w:rFonts w:cstheme="minorHAnsi"/>
        </w:rPr>
        <w:t>By pathologic evaluation, ipsilateral nodes must be pN0 or pN1 (pN1mi, pN1a, pN1b, pN1c).</w:t>
      </w:r>
    </w:p>
    <w:p w14:paraId="3AE196DE" w14:textId="7EA2AB77" w:rsidR="00D31C74" w:rsidRPr="003E0C91" w:rsidRDefault="00D31C74" w:rsidP="003E0C91">
      <w:pPr>
        <w:pStyle w:val="ListParagraph"/>
        <w:numPr>
          <w:ilvl w:val="0"/>
          <w:numId w:val="32"/>
        </w:numPr>
        <w:spacing w:after="0"/>
        <w:rPr>
          <w:rFonts w:cstheme="minorHAnsi"/>
        </w:rPr>
      </w:pPr>
      <w:r w:rsidRPr="003E0C91">
        <w:rPr>
          <w:rFonts w:cstheme="minorHAnsi"/>
        </w:rPr>
        <w:t>Patients with positive isolated tumor cells (ITCs) in axillary</w:t>
      </w:r>
      <w:r w:rsidR="003E0C91" w:rsidRPr="003E0C91">
        <w:rPr>
          <w:rFonts w:cstheme="minorHAnsi"/>
        </w:rPr>
        <w:t xml:space="preserve"> </w:t>
      </w:r>
      <w:r w:rsidRPr="003E0C91">
        <w:rPr>
          <w:rFonts w:cstheme="minorHAnsi"/>
        </w:rPr>
        <w:t>nodes will be considered N0 for eligibility purposes.</w:t>
      </w:r>
    </w:p>
    <w:p w14:paraId="7F8FA936" w14:textId="221D0C90" w:rsidR="00D31C74" w:rsidRPr="003E0C91" w:rsidRDefault="00D31C74" w:rsidP="003E0C91">
      <w:pPr>
        <w:pStyle w:val="ListParagraph"/>
        <w:numPr>
          <w:ilvl w:val="0"/>
          <w:numId w:val="32"/>
        </w:numPr>
        <w:spacing w:after="0"/>
        <w:rPr>
          <w:rFonts w:cstheme="minorHAnsi"/>
        </w:rPr>
      </w:pPr>
      <w:r w:rsidRPr="003E0C91">
        <w:rPr>
          <w:rFonts w:cstheme="minorHAnsi"/>
        </w:rPr>
        <w:t xml:space="preserve">Patients with </w:t>
      </w:r>
      <w:proofErr w:type="spellStart"/>
      <w:r w:rsidRPr="003E0C91">
        <w:rPr>
          <w:rFonts w:cstheme="minorHAnsi"/>
        </w:rPr>
        <w:t>micrometastatic</w:t>
      </w:r>
      <w:proofErr w:type="spellEnd"/>
      <w:r w:rsidRPr="003E0C91">
        <w:rPr>
          <w:rFonts w:cstheme="minorHAnsi"/>
        </w:rPr>
        <w:t xml:space="preserve"> nodal involvement (0.2-2 mm)</w:t>
      </w:r>
      <w:r w:rsidR="006030B4" w:rsidRPr="003E0C91">
        <w:rPr>
          <w:rFonts w:cstheme="minorHAnsi"/>
        </w:rPr>
        <w:t xml:space="preserve"> </w:t>
      </w:r>
      <w:r w:rsidRPr="003E0C91">
        <w:rPr>
          <w:rFonts w:cstheme="minorHAnsi"/>
        </w:rPr>
        <w:t>will be considered N1.</w:t>
      </w:r>
    </w:p>
    <w:p w14:paraId="6BE2D7FD" w14:textId="77777777" w:rsidR="00D31C74" w:rsidRPr="006030B4" w:rsidRDefault="00D31C74" w:rsidP="00D31C74">
      <w:pPr>
        <w:rPr>
          <w:rFonts w:cstheme="minorHAnsi"/>
        </w:rPr>
      </w:pPr>
    </w:p>
    <w:p w14:paraId="5027BA28" w14:textId="77777777" w:rsidR="00D31C74" w:rsidRPr="006030B4" w:rsidRDefault="00D31C74" w:rsidP="00D31C74">
      <w:pPr>
        <w:rPr>
          <w:rFonts w:cstheme="minorHAnsi"/>
        </w:rPr>
      </w:pPr>
      <w:r w:rsidRPr="006030B4">
        <w:rPr>
          <w:rFonts w:cstheme="minorHAnsi"/>
        </w:rPr>
        <w:tab/>
        <w:t>12.</w:t>
      </w:r>
      <w:r w:rsidRPr="006030B4">
        <w:rPr>
          <w:rFonts w:cstheme="minorHAnsi"/>
        </w:rPr>
        <w:tab/>
        <w:t>Oncotype DX RS requirements*:</w:t>
      </w:r>
    </w:p>
    <w:p w14:paraId="1F1D6F65" w14:textId="209106F9" w:rsidR="00D31C74" w:rsidRPr="006030B4" w:rsidRDefault="00D31C74" w:rsidP="003E0C91">
      <w:pPr>
        <w:spacing w:after="0"/>
        <w:ind w:left="720" w:firstLine="720"/>
        <w:rPr>
          <w:rFonts w:cstheme="minorHAnsi"/>
        </w:rPr>
      </w:pPr>
      <w:r w:rsidRPr="006030B4">
        <w:rPr>
          <w:rFonts w:cstheme="minorHAnsi"/>
        </w:rPr>
        <w:t>• If node-negative:</w:t>
      </w:r>
    </w:p>
    <w:p w14:paraId="0FC3EB24" w14:textId="08C5DAD7" w:rsidR="00D31C74" w:rsidRPr="006030B4" w:rsidRDefault="00D31C74" w:rsidP="003E0C91">
      <w:pPr>
        <w:spacing w:after="0"/>
        <w:ind w:left="1440" w:firstLine="720"/>
        <w:rPr>
          <w:rFonts w:cstheme="minorHAnsi"/>
        </w:rPr>
      </w:pPr>
      <w:r w:rsidRPr="006030B4">
        <w:rPr>
          <w:rFonts w:cstheme="minorHAnsi"/>
        </w:rPr>
        <w:t>-Oncotype DX RS must be RS 21-25, or</w:t>
      </w:r>
    </w:p>
    <w:p w14:paraId="24FC2D8B" w14:textId="54415B62" w:rsidR="00A75CAF" w:rsidRPr="006030B4" w:rsidRDefault="00D31C74" w:rsidP="003E0C91">
      <w:pPr>
        <w:spacing w:after="0"/>
        <w:ind w:left="2160"/>
        <w:rPr>
          <w:rFonts w:cstheme="minorHAnsi"/>
        </w:rPr>
      </w:pPr>
      <w:r w:rsidRPr="006030B4">
        <w:rPr>
          <w:rFonts w:cstheme="minorHAnsi"/>
        </w:rPr>
        <w:t>-Oncotype DX RS must be 16-20 and disease must be high clinical risk, defined as: low histologic grade with primary tumor size &gt; 3 cm, intermediate histologic grade with primary tumor size &gt; 2 cm, or high histologic grade with primary tumor size &gt; 1 cm.</w:t>
      </w:r>
    </w:p>
    <w:p w14:paraId="365D05A5" w14:textId="6E9537D4" w:rsidR="00A75CAF" w:rsidRPr="006030B4" w:rsidRDefault="00A75CAF" w:rsidP="00A75CAF">
      <w:pPr>
        <w:pStyle w:val="ListParagraph"/>
        <w:numPr>
          <w:ilvl w:val="0"/>
          <w:numId w:val="30"/>
        </w:numPr>
        <w:rPr>
          <w:rFonts w:cstheme="minorHAnsi"/>
        </w:rPr>
      </w:pPr>
      <w:r w:rsidRPr="006030B4">
        <w:rPr>
          <w:rFonts w:cstheme="minorHAnsi"/>
        </w:rPr>
        <w:t>If 1-3 nodes involved:</w:t>
      </w:r>
    </w:p>
    <w:p w14:paraId="20495641" w14:textId="7E050170" w:rsidR="00A75CAF" w:rsidRPr="006030B4" w:rsidRDefault="00A75CAF" w:rsidP="00A75CAF">
      <w:pPr>
        <w:pStyle w:val="ListParagraph"/>
        <w:ind w:left="1800" w:firstLine="360"/>
        <w:rPr>
          <w:rFonts w:cstheme="minorHAnsi"/>
        </w:rPr>
      </w:pPr>
      <w:r w:rsidRPr="006030B4">
        <w:rPr>
          <w:rFonts w:cstheme="minorHAnsi"/>
        </w:rPr>
        <w:t>-Oncotype DX RS must be &lt; 26.</w:t>
      </w:r>
    </w:p>
    <w:p w14:paraId="6AA70070" w14:textId="77777777" w:rsidR="00A75CAF" w:rsidRPr="006030B4" w:rsidRDefault="00A75CAF" w:rsidP="00A75CAF">
      <w:pPr>
        <w:pStyle w:val="ListParagraph"/>
        <w:ind w:left="2160"/>
        <w:rPr>
          <w:rFonts w:cstheme="minorHAnsi"/>
        </w:rPr>
      </w:pPr>
      <w:r w:rsidRPr="006030B4">
        <w:rPr>
          <w:rFonts w:cstheme="minorHAnsi"/>
        </w:rPr>
        <w:t xml:space="preserve">-Patients with a “Low Risk” or “MP1” </w:t>
      </w:r>
      <w:r w:rsidRPr="006030B4">
        <w:rPr>
          <w:rFonts w:cstheme="minorHAnsi"/>
          <w:b/>
          <w:bCs/>
          <w:i/>
          <w:iCs/>
        </w:rPr>
        <w:t>MammaPrint</w:t>
      </w:r>
      <w:r w:rsidRPr="006030B4">
        <w:rPr>
          <w:rFonts w:cstheme="minorHAnsi"/>
        </w:rPr>
        <w:t xml:space="preserve"> result must   </w:t>
      </w:r>
    </w:p>
    <w:p w14:paraId="3C15530D" w14:textId="0BD9D59D" w:rsidR="00A75CAF" w:rsidRPr="006030B4" w:rsidRDefault="00A75CAF" w:rsidP="006030B4">
      <w:pPr>
        <w:pStyle w:val="ListParagraph"/>
        <w:ind w:left="2160"/>
        <w:rPr>
          <w:rFonts w:cstheme="minorHAnsi"/>
          <w:b/>
          <w:bCs/>
          <w:i/>
          <w:iCs/>
        </w:rPr>
      </w:pPr>
      <w:r w:rsidRPr="006030B4">
        <w:rPr>
          <w:rFonts w:cstheme="minorHAnsi"/>
        </w:rPr>
        <w:t xml:space="preserve"> have eligibility assessed with an Oncotype DX RS at pre-entry (see Section 3.1). Blocks or unstained slides must be sent to the Genomic Health centralized laboratory for testing at no cost to these patients</w:t>
      </w:r>
      <w:r w:rsidRPr="006030B4">
        <w:rPr>
          <w:rFonts w:cstheme="minorHAnsi"/>
          <w:b/>
          <w:bCs/>
          <w:i/>
          <w:iCs/>
        </w:rPr>
        <w:t>. If MammaPrint High Risk or MP2, these patients are not eligible.</w:t>
      </w:r>
    </w:p>
    <w:p w14:paraId="4B9D8D7A" w14:textId="3EE4A34E" w:rsidR="00A75CAF" w:rsidRPr="006030B4" w:rsidRDefault="00A75CAF" w:rsidP="006030B4">
      <w:pPr>
        <w:ind w:left="1440" w:hanging="720"/>
        <w:rPr>
          <w:rFonts w:cstheme="minorHAnsi"/>
        </w:rPr>
      </w:pPr>
      <w:r w:rsidRPr="006030B4">
        <w:rPr>
          <w:rFonts w:cstheme="minorHAnsi"/>
        </w:rPr>
        <w:t>13.</w:t>
      </w:r>
      <w:r w:rsidRPr="006030B4">
        <w:rPr>
          <w:rFonts w:cstheme="minorHAnsi"/>
        </w:rPr>
        <w:tab/>
        <w:t xml:space="preserve">The tumor must be ER and/or </w:t>
      </w:r>
      <w:proofErr w:type="spellStart"/>
      <w:r w:rsidRPr="006030B4">
        <w:rPr>
          <w:rFonts w:cstheme="minorHAnsi"/>
        </w:rPr>
        <w:t>PgR</w:t>
      </w:r>
      <w:proofErr w:type="spellEnd"/>
      <w:r w:rsidRPr="006030B4">
        <w:rPr>
          <w:rFonts w:cstheme="minorHAnsi"/>
        </w:rPr>
        <w:t xml:space="preserve">-positive by current ASCO/CAP guidelines based on local testing results. Patients with ≥ 1% ER and/or </w:t>
      </w:r>
      <w:proofErr w:type="spellStart"/>
      <w:r w:rsidRPr="006030B4">
        <w:rPr>
          <w:rFonts w:cstheme="minorHAnsi"/>
        </w:rPr>
        <w:t>PgR</w:t>
      </w:r>
      <w:proofErr w:type="spellEnd"/>
      <w:r w:rsidRPr="006030B4">
        <w:rPr>
          <w:rFonts w:cstheme="minorHAnsi"/>
        </w:rPr>
        <w:t xml:space="preserve"> staining by IHC will be classified as positive.</w:t>
      </w:r>
    </w:p>
    <w:p w14:paraId="5E6E3321" w14:textId="6459B4CF" w:rsidR="00A75CAF" w:rsidRPr="006030B4" w:rsidRDefault="00A75CAF" w:rsidP="006030B4">
      <w:pPr>
        <w:ind w:left="1440" w:hanging="720"/>
        <w:rPr>
          <w:rFonts w:cstheme="minorHAnsi"/>
        </w:rPr>
      </w:pPr>
      <w:r w:rsidRPr="006030B4">
        <w:rPr>
          <w:rFonts w:cstheme="minorHAnsi"/>
        </w:rPr>
        <w:t xml:space="preserve">14. </w:t>
      </w:r>
      <w:r w:rsidRPr="006030B4">
        <w:rPr>
          <w:rFonts w:cstheme="minorHAnsi"/>
        </w:rPr>
        <w:tab/>
        <w:t>The tumor must be HER2-negative by current ASCO/CAP guidelines based on local testing results.</w:t>
      </w:r>
    </w:p>
    <w:p w14:paraId="2164D37E" w14:textId="607A625B" w:rsidR="00A75CAF" w:rsidRPr="006030B4" w:rsidRDefault="00A75CAF" w:rsidP="006030B4">
      <w:pPr>
        <w:ind w:left="1440" w:hanging="720"/>
        <w:rPr>
          <w:rFonts w:cstheme="minorHAnsi"/>
        </w:rPr>
      </w:pPr>
      <w:r w:rsidRPr="006030B4">
        <w:rPr>
          <w:rFonts w:cstheme="minorHAnsi"/>
        </w:rPr>
        <w:lastRenderedPageBreak/>
        <w:t>15.</w:t>
      </w:r>
      <w:r w:rsidRPr="006030B4">
        <w:rPr>
          <w:rFonts w:cstheme="minorHAnsi"/>
        </w:rPr>
        <w:tab/>
        <w:t>The interval between the last surgery for breast cancer (including re-excision of margins) and pre-entry must be no more than 16 weeks.</w:t>
      </w:r>
    </w:p>
    <w:p w14:paraId="3D6434FB" w14:textId="1EC07806" w:rsidR="00A75CAF" w:rsidRPr="006030B4" w:rsidRDefault="00A75CAF" w:rsidP="006030B4">
      <w:pPr>
        <w:spacing w:after="0"/>
        <w:ind w:left="1440" w:hanging="720"/>
        <w:rPr>
          <w:rFonts w:cstheme="minorHAnsi"/>
        </w:rPr>
      </w:pPr>
      <w:r w:rsidRPr="006030B4">
        <w:rPr>
          <w:rFonts w:cstheme="minorHAnsi"/>
        </w:rPr>
        <w:t>16.</w:t>
      </w:r>
      <w:r w:rsidRPr="006030B4">
        <w:rPr>
          <w:rFonts w:cstheme="minorHAnsi"/>
        </w:rPr>
        <w:tab/>
        <w:t>Short course of endocrine therapy of less than 6 weeks duration before pre-entry is acceptable either as neoadjuvant or adjuvant therapy. An Oncotype DX RS must be performed on core biopsy specimen obtained prior to initiation of neoadjuvant endocrine</w:t>
      </w:r>
      <w:r w:rsidR="006030B4">
        <w:rPr>
          <w:rFonts w:cstheme="minorHAnsi"/>
        </w:rPr>
        <w:t xml:space="preserve"> </w:t>
      </w:r>
      <w:r w:rsidRPr="006030B4">
        <w:rPr>
          <w:rFonts w:cstheme="minorHAnsi"/>
        </w:rPr>
        <w:t>therapy if received.</w:t>
      </w:r>
    </w:p>
    <w:p w14:paraId="75841A78" w14:textId="77777777" w:rsidR="00A75CAF" w:rsidRPr="006030B4" w:rsidRDefault="00A75CAF" w:rsidP="00A75CAF">
      <w:pPr>
        <w:spacing w:after="0"/>
        <w:rPr>
          <w:rFonts w:cstheme="minorHAnsi"/>
        </w:rPr>
      </w:pPr>
    </w:p>
    <w:p w14:paraId="7690EC10" w14:textId="4A2B2E24" w:rsidR="00A75CAF" w:rsidRPr="006030B4" w:rsidRDefault="00A75CAF" w:rsidP="00A75CAF">
      <w:pPr>
        <w:spacing w:after="0"/>
        <w:ind w:left="1440" w:hanging="720"/>
        <w:rPr>
          <w:rFonts w:cstheme="minorHAnsi"/>
        </w:rPr>
      </w:pPr>
      <w:r w:rsidRPr="006030B4">
        <w:rPr>
          <w:rFonts w:cstheme="minorHAnsi"/>
        </w:rPr>
        <w:t>17.</w:t>
      </w:r>
      <w:r w:rsidRPr="006030B4">
        <w:rPr>
          <w:rFonts w:cstheme="minorHAnsi"/>
        </w:rPr>
        <w:tab/>
        <w:t>Patients with a prior or concurrent non-breast malignancy whose natural history or treatment does not have the potential to interfere with the safety or efficacy assessment of the investigational regimen are eligible for this trial. This would include prior cancers treated with curative intent.</w:t>
      </w:r>
    </w:p>
    <w:p w14:paraId="1560275B" w14:textId="77777777" w:rsidR="00A75CAF" w:rsidRPr="006030B4" w:rsidRDefault="00A75CAF" w:rsidP="00A75CAF">
      <w:pPr>
        <w:spacing w:after="0"/>
        <w:ind w:left="1440" w:hanging="720"/>
        <w:rPr>
          <w:rFonts w:cstheme="minorHAnsi"/>
        </w:rPr>
      </w:pPr>
    </w:p>
    <w:p w14:paraId="3C4724DB" w14:textId="43E57378" w:rsidR="00A75CAF" w:rsidRPr="006030B4" w:rsidRDefault="00A75CAF" w:rsidP="00A75CAF">
      <w:pPr>
        <w:spacing w:after="0"/>
        <w:ind w:left="1440" w:hanging="720"/>
        <w:rPr>
          <w:rFonts w:cstheme="minorHAnsi"/>
        </w:rPr>
      </w:pPr>
      <w:r w:rsidRPr="006030B4">
        <w:rPr>
          <w:rFonts w:cstheme="minorHAnsi"/>
        </w:rPr>
        <w:t xml:space="preserve">18. </w:t>
      </w:r>
      <w:r w:rsidRPr="006030B4">
        <w:rPr>
          <w:rFonts w:cstheme="minorHAnsi"/>
        </w:rPr>
        <w:tab/>
        <w:t>HIV-infected patients on effective anti-retroviral therapy with undetectable viral load within 6 months are eligible for this trial.</w:t>
      </w:r>
    </w:p>
    <w:p w14:paraId="09C6CF86" w14:textId="77777777" w:rsidR="00A75CAF" w:rsidRPr="006030B4" w:rsidRDefault="00A75CAF" w:rsidP="006030B4">
      <w:pPr>
        <w:spacing w:after="0"/>
        <w:rPr>
          <w:rFonts w:cstheme="minorHAnsi"/>
        </w:rPr>
      </w:pPr>
    </w:p>
    <w:p w14:paraId="37FBC630" w14:textId="002C3EB9" w:rsidR="00A75CAF" w:rsidRPr="006030B4" w:rsidRDefault="00A75CAF" w:rsidP="00A75CAF">
      <w:pPr>
        <w:spacing w:after="0"/>
        <w:ind w:left="1440" w:hanging="720"/>
        <w:rPr>
          <w:rFonts w:cstheme="minorHAnsi"/>
        </w:rPr>
      </w:pPr>
      <w:r w:rsidRPr="006030B4">
        <w:rPr>
          <w:rFonts w:cstheme="minorHAnsi"/>
        </w:rPr>
        <w:t xml:space="preserve">19. </w:t>
      </w:r>
      <w:r w:rsidRPr="006030B4">
        <w:rPr>
          <w:rFonts w:cstheme="minorHAnsi"/>
        </w:rPr>
        <w:tab/>
        <w:t>Radiation therapy should be used according to standard guidelines; the intended radiation therapy should be declared prior to pre-entry.</w:t>
      </w:r>
    </w:p>
    <w:p w14:paraId="1C303D6C" w14:textId="77777777" w:rsidR="00615673" w:rsidRPr="006030B4" w:rsidRDefault="00615673" w:rsidP="00615673">
      <w:pPr>
        <w:spacing w:after="0"/>
        <w:rPr>
          <w:rFonts w:cstheme="minorHAnsi"/>
        </w:rPr>
      </w:pPr>
    </w:p>
    <w:p w14:paraId="00B36FF0" w14:textId="1DF70F89" w:rsidR="00615673" w:rsidRPr="006030B4" w:rsidRDefault="00615673" w:rsidP="00615673">
      <w:pPr>
        <w:spacing w:after="0"/>
        <w:rPr>
          <w:rFonts w:cstheme="minorHAnsi"/>
          <w:b/>
          <w:bCs/>
          <w:u w:val="single"/>
        </w:rPr>
      </w:pPr>
      <w:r w:rsidRPr="006030B4">
        <w:rPr>
          <w:rFonts w:cstheme="minorHAnsi"/>
          <w:b/>
          <w:bCs/>
          <w:u w:val="single"/>
        </w:rPr>
        <w:t>INELIGIBILITY CRITERIA</w:t>
      </w:r>
    </w:p>
    <w:p w14:paraId="06D82BF2" w14:textId="77777777" w:rsidR="00615673" w:rsidRPr="006030B4" w:rsidRDefault="00615673" w:rsidP="00615673">
      <w:pPr>
        <w:spacing w:after="0"/>
        <w:rPr>
          <w:rFonts w:cstheme="minorHAnsi"/>
          <w:b/>
          <w:bCs/>
          <w:u w:val="single"/>
        </w:rPr>
      </w:pPr>
    </w:p>
    <w:p w14:paraId="4C9DF0C9" w14:textId="50EC95EA" w:rsidR="00615673" w:rsidRPr="006030B4" w:rsidRDefault="00615673" w:rsidP="00615673">
      <w:pPr>
        <w:spacing w:after="0"/>
        <w:rPr>
          <w:rFonts w:cstheme="minorHAnsi"/>
          <w:b/>
          <w:bCs/>
          <w:i/>
          <w:iCs/>
        </w:rPr>
      </w:pPr>
      <w:r w:rsidRPr="006030B4">
        <w:rPr>
          <w:rFonts w:cstheme="minorHAnsi"/>
          <w:b/>
          <w:bCs/>
          <w:i/>
          <w:iCs/>
        </w:rPr>
        <w:t>Patients with any of the following conditions are NOT eligible for this study.</w:t>
      </w:r>
    </w:p>
    <w:p w14:paraId="7697BB10" w14:textId="77777777" w:rsidR="00615673" w:rsidRPr="006030B4" w:rsidRDefault="00615673" w:rsidP="00615673">
      <w:pPr>
        <w:spacing w:after="0"/>
        <w:rPr>
          <w:rFonts w:cstheme="minorHAnsi"/>
          <w:b/>
          <w:bCs/>
          <w:i/>
          <w:iCs/>
        </w:rPr>
      </w:pPr>
    </w:p>
    <w:p w14:paraId="5DB88645" w14:textId="53438F96" w:rsidR="00615673" w:rsidRPr="006030B4" w:rsidRDefault="00615673" w:rsidP="00615673">
      <w:pPr>
        <w:spacing w:after="0"/>
        <w:rPr>
          <w:rFonts w:cstheme="minorHAnsi"/>
        </w:rPr>
      </w:pPr>
      <w:r w:rsidRPr="006030B4">
        <w:rPr>
          <w:rFonts w:cstheme="minorHAnsi"/>
          <w:b/>
          <w:bCs/>
        </w:rPr>
        <w:tab/>
        <w:t>1.</w:t>
      </w:r>
      <w:r w:rsidRPr="006030B4">
        <w:rPr>
          <w:rFonts w:cstheme="minorHAnsi"/>
          <w:b/>
          <w:bCs/>
        </w:rPr>
        <w:tab/>
      </w:r>
      <w:r w:rsidRPr="006030B4">
        <w:rPr>
          <w:rFonts w:cstheme="minorHAnsi"/>
        </w:rPr>
        <w:t>Definitive clinical or radiologic evidence of metastatic disease.</w:t>
      </w:r>
    </w:p>
    <w:p w14:paraId="29723D9E" w14:textId="77777777" w:rsidR="00615673" w:rsidRPr="006030B4" w:rsidRDefault="00615673" w:rsidP="00615673">
      <w:pPr>
        <w:spacing w:after="0"/>
        <w:rPr>
          <w:rFonts w:cstheme="minorHAnsi"/>
        </w:rPr>
      </w:pPr>
    </w:p>
    <w:p w14:paraId="46E3B40F" w14:textId="73452CDF" w:rsidR="00615673" w:rsidRPr="006030B4" w:rsidRDefault="00615673" w:rsidP="00615673">
      <w:pPr>
        <w:spacing w:after="0"/>
        <w:rPr>
          <w:rFonts w:cstheme="minorHAnsi"/>
        </w:rPr>
      </w:pPr>
      <w:r w:rsidRPr="006030B4">
        <w:rPr>
          <w:rFonts w:cstheme="minorHAnsi"/>
        </w:rPr>
        <w:tab/>
        <w:t>2.</w:t>
      </w:r>
      <w:r w:rsidRPr="006030B4">
        <w:rPr>
          <w:rFonts w:cstheme="minorHAnsi"/>
        </w:rPr>
        <w:tab/>
        <w:t>pT4 tumors, including inflammatory breast cancer.</w:t>
      </w:r>
    </w:p>
    <w:p w14:paraId="43AB513B" w14:textId="77777777" w:rsidR="00615673" w:rsidRPr="006030B4" w:rsidRDefault="00615673" w:rsidP="00615673">
      <w:pPr>
        <w:spacing w:after="0"/>
        <w:rPr>
          <w:rFonts w:cstheme="minorHAnsi"/>
        </w:rPr>
      </w:pPr>
    </w:p>
    <w:p w14:paraId="50C2AA60" w14:textId="3BDC3BE3" w:rsidR="00615673" w:rsidRPr="006030B4" w:rsidRDefault="00615673" w:rsidP="00615673">
      <w:pPr>
        <w:spacing w:after="0"/>
        <w:ind w:left="1440" w:hanging="720"/>
        <w:rPr>
          <w:rFonts w:cstheme="minorHAnsi"/>
        </w:rPr>
      </w:pPr>
      <w:r w:rsidRPr="006030B4">
        <w:rPr>
          <w:rFonts w:cstheme="minorHAnsi"/>
        </w:rPr>
        <w:t>3.</w:t>
      </w:r>
      <w:r w:rsidRPr="006030B4">
        <w:rPr>
          <w:rFonts w:cstheme="minorHAnsi"/>
        </w:rPr>
        <w:tab/>
        <w:t>History of ipsilateral or contralateral invasive breast cancer. (Patients with synchronous NRG-BR009 23 Version Date: July 27, 2023</w:t>
      </w:r>
    </w:p>
    <w:p w14:paraId="0AD78EAB" w14:textId="1319F7DE" w:rsidR="00615673" w:rsidRPr="006030B4" w:rsidRDefault="00615673" w:rsidP="003E0C91">
      <w:pPr>
        <w:spacing w:after="0"/>
        <w:ind w:left="720" w:firstLine="720"/>
        <w:rPr>
          <w:rFonts w:cstheme="minorHAnsi"/>
        </w:rPr>
      </w:pPr>
      <w:r w:rsidRPr="006030B4">
        <w:rPr>
          <w:rFonts w:cstheme="minorHAnsi"/>
        </w:rPr>
        <w:t>and/or previous DCIS or LCIS are eligible.)</w:t>
      </w:r>
    </w:p>
    <w:p w14:paraId="43480F4E" w14:textId="4ADAFF91" w:rsidR="00615673" w:rsidRPr="006030B4" w:rsidRDefault="00615673" w:rsidP="00615673">
      <w:pPr>
        <w:pStyle w:val="ListParagraph"/>
        <w:numPr>
          <w:ilvl w:val="0"/>
          <w:numId w:val="30"/>
        </w:numPr>
        <w:spacing w:after="0"/>
        <w:rPr>
          <w:rFonts w:cstheme="minorHAnsi"/>
        </w:rPr>
      </w:pPr>
      <w:r w:rsidRPr="006030B4">
        <w:rPr>
          <w:rFonts w:cstheme="minorHAnsi"/>
        </w:rPr>
        <w:t>If prior ipsilateral DCIS was treated with lumpectomy and XRT, a mastectomy must have been performed for the current cancer.</w:t>
      </w:r>
    </w:p>
    <w:p w14:paraId="6BAE57D2" w14:textId="77777777" w:rsidR="00615673" w:rsidRPr="006030B4" w:rsidRDefault="00615673" w:rsidP="00615673">
      <w:pPr>
        <w:pStyle w:val="ListParagraph"/>
        <w:spacing w:after="0"/>
        <w:ind w:left="1800"/>
        <w:rPr>
          <w:rFonts w:cstheme="minorHAnsi"/>
        </w:rPr>
      </w:pPr>
    </w:p>
    <w:p w14:paraId="4EEEB97F" w14:textId="61B354D5" w:rsidR="00615673" w:rsidRPr="006030B4" w:rsidRDefault="00615673" w:rsidP="003E1E62">
      <w:pPr>
        <w:spacing w:after="0"/>
        <w:ind w:left="1440" w:hanging="720"/>
        <w:rPr>
          <w:rFonts w:cstheme="minorHAnsi"/>
        </w:rPr>
      </w:pPr>
      <w:r w:rsidRPr="006030B4">
        <w:rPr>
          <w:rFonts w:cstheme="minorHAnsi"/>
        </w:rPr>
        <w:t>4.</w:t>
      </w:r>
      <w:r w:rsidRPr="006030B4">
        <w:rPr>
          <w:rFonts w:cstheme="minorHAnsi"/>
        </w:rPr>
        <w:tab/>
      </w:r>
      <w:r w:rsidR="003E1E62" w:rsidRPr="006030B4">
        <w:rPr>
          <w:rFonts w:cstheme="minorHAnsi"/>
        </w:rPr>
        <w:t>Life expectancy of &lt; 10 years due to co-morbid conditions in the opinion of the investigator.</w:t>
      </w:r>
    </w:p>
    <w:p w14:paraId="6B7540D1" w14:textId="77777777" w:rsidR="003E1E62" w:rsidRPr="006030B4" w:rsidRDefault="003E1E62" w:rsidP="003E1E62">
      <w:pPr>
        <w:spacing w:after="0"/>
        <w:ind w:left="1440" w:hanging="720"/>
        <w:rPr>
          <w:rFonts w:cstheme="minorHAnsi"/>
        </w:rPr>
      </w:pPr>
    </w:p>
    <w:p w14:paraId="31E95789" w14:textId="6646B1A0" w:rsidR="003E1E62" w:rsidRPr="006030B4" w:rsidRDefault="003E1E62" w:rsidP="003E0C91">
      <w:pPr>
        <w:spacing w:after="0"/>
        <w:ind w:left="1440" w:hanging="720"/>
        <w:rPr>
          <w:rFonts w:cstheme="minorHAnsi"/>
        </w:rPr>
      </w:pPr>
      <w:r w:rsidRPr="006030B4">
        <w:rPr>
          <w:rFonts w:cstheme="minorHAnsi"/>
        </w:rPr>
        <w:t>5.</w:t>
      </w:r>
      <w:r w:rsidRPr="006030B4">
        <w:rPr>
          <w:rFonts w:cstheme="minorHAnsi"/>
        </w:rPr>
        <w:tab/>
        <w:t>Known results from most recent lab studies obtained as part of routine care prior to study entry showing ANY of the following values:</w:t>
      </w:r>
    </w:p>
    <w:p w14:paraId="4E4A3D1E" w14:textId="523CF091" w:rsidR="003E1E62" w:rsidRPr="006030B4" w:rsidRDefault="003E1E62" w:rsidP="003E1E62">
      <w:pPr>
        <w:spacing w:after="0"/>
        <w:ind w:left="1440" w:firstLine="720"/>
        <w:rPr>
          <w:rFonts w:cstheme="minorHAnsi"/>
        </w:rPr>
      </w:pPr>
      <w:r w:rsidRPr="006030B4">
        <w:rPr>
          <w:rFonts w:cstheme="minorHAnsi"/>
        </w:rPr>
        <w:t>•</w:t>
      </w:r>
      <w:r w:rsidRPr="006030B4">
        <w:rPr>
          <w:rFonts w:cstheme="minorHAnsi"/>
        </w:rPr>
        <w:tab/>
        <w:t>ANC &lt; 1200/mm3;</w:t>
      </w:r>
    </w:p>
    <w:p w14:paraId="11178710" w14:textId="336665E1" w:rsidR="003E1E62" w:rsidRPr="006030B4" w:rsidRDefault="003E1E62" w:rsidP="003E1E62">
      <w:pPr>
        <w:spacing w:after="0"/>
        <w:ind w:left="1440" w:firstLine="720"/>
        <w:rPr>
          <w:rFonts w:cstheme="minorHAnsi"/>
        </w:rPr>
      </w:pPr>
      <w:r w:rsidRPr="006030B4">
        <w:rPr>
          <w:rFonts w:cstheme="minorHAnsi"/>
        </w:rPr>
        <w:t xml:space="preserve">• </w:t>
      </w:r>
      <w:r w:rsidRPr="006030B4">
        <w:rPr>
          <w:rFonts w:cstheme="minorHAnsi"/>
        </w:rPr>
        <w:tab/>
        <w:t>Platelet count &lt; 100,000/mm3;</w:t>
      </w:r>
    </w:p>
    <w:p w14:paraId="4EA51826" w14:textId="7A5F3383" w:rsidR="003E1E62" w:rsidRPr="006030B4" w:rsidRDefault="003E1E62" w:rsidP="003E1E62">
      <w:pPr>
        <w:spacing w:after="0"/>
        <w:ind w:left="1440" w:firstLine="720"/>
        <w:rPr>
          <w:rFonts w:cstheme="minorHAnsi"/>
        </w:rPr>
      </w:pPr>
      <w:r w:rsidRPr="006030B4">
        <w:rPr>
          <w:rFonts w:cstheme="minorHAnsi"/>
        </w:rPr>
        <w:t xml:space="preserve">• </w:t>
      </w:r>
      <w:r w:rsidRPr="006030B4">
        <w:rPr>
          <w:rFonts w:cstheme="minorHAnsi"/>
        </w:rPr>
        <w:tab/>
        <w:t>Hemoglobin &lt; 10 g/dL;</w:t>
      </w:r>
    </w:p>
    <w:p w14:paraId="2E740033" w14:textId="0B0CFE0A" w:rsidR="003E1E62" w:rsidRPr="006030B4" w:rsidRDefault="003E1E62" w:rsidP="003E1E62">
      <w:pPr>
        <w:spacing w:after="0"/>
        <w:ind w:left="2880" w:hanging="720"/>
        <w:rPr>
          <w:rFonts w:cstheme="minorHAnsi"/>
        </w:rPr>
      </w:pPr>
      <w:r w:rsidRPr="006030B4">
        <w:rPr>
          <w:rFonts w:cstheme="minorHAnsi"/>
        </w:rPr>
        <w:lastRenderedPageBreak/>
        <w:t xml:space="preserve">• </w:t>
      </w:r>
      <w:r w:rsidRPr="006030B4">
        <w:rPr>
          <w:rFonts w:cstheme="minorHAnsi"/>
        </w:rPr>
        <w:tab/>
        <w:t>Total bilirubin &gt; ULN for the lab or &gt; 1.5 x ULN for patients who have a bilirubin elevation due to Gilbert’s disease or similar syndrome involving slow conjugation of bilirubin;</w:t>
      </w:r>
    </w:p>
    <w:p w14:paraId="33386B56" w14:textId="0C7A7DE8" w:rsidR="003E1E62" w:rsidRPr="006030B4" w:rsidRDefault="003E1E62" w:rsidP="003E1E62">
      <w:pPr>
        <w:spacing w:after="0"/>
        <w:ind w:left="1440" w:firstLine="720"/>
        <w:rPr>
          <w:rFonts w:cstheme="minorHAnsi"/>
        </w:rPr>
      </w:pPr>
      <w:r w:rsidRPr="006030B4">
        <w:rPr>
          <w:rFonts w:cstheme="minorHAnsi"/>
        </w:rPr>
        <w:t xml:space="preserve">• </w:t>
      </w:r>
      <w:r w:rsidRPr="006030B4">
        <w:rPr>
          <w:rFonts w:cstheme="minorHAnsi"/>
        </w:rPr>
        <w:tab/>
        <w:t>AST(SGOT)/ALT(SGPT): &gt; 3 × institutional ULN;</w:t>
      </w:r>
    </w:p>
    <w:p w14:paraId="3BA16504" w14:textId="06E5C8DD" w:rsidR="003E1E62" w:rsidRPr="006030B4" w:rsidRDefault="003E1E62" w:rsidP="003E1E62">
      <w:pPr>
        <w:spacing w:after="0"/>
        <w:ind w:left="1440" w:firstLine="720"/>
        <w:rPr>
          <w:rFonts w:cstheme="minorHAnsi"/>
        </w:rPr>
      </w:pPr>
      <w:r w:rsidRPr="006030B4">
        <w:rPr>
          <w:rFonts w:cstheme="minorHAnsi"/>
        </w:rPr>
        <w:t>•</w:t>
      </w:r>
      <w:r w:rsidRPr="006030B4">
        <w:rPr>
          <w:rFonts w:cstheme="minorHAnsi"/>
        </w:rPr>
        <w:tab/>
        <w:t xml:space="preserve"> Renal function of GFR &lt; 30 mL/min/1.73m2.</w:t>
      </w:r>
    </w:p>
    <w:p w14:paraId="179E0BAF" w14:textId="77777777" w:rsidR="003E1E62" w:rsidRPr="006030B4" w:rsidRDefault="003E1E62" w:rsidP="003E1E62">
      <w:pPr>
        <w:spacing w:after="0"/>
        <w:rPr>
          <w:rFonts w:cstheme="minorHAnsi"/>
        </w:rPr>
      </w:pPr>
    </w:p>
    <w:p w14:paraId="2F066FD8" w14:textId="70C6D713" w:rsidR="003E1E62" w:rsidRPr="006030B4" w:rsidRDefault="003E1E62" w:rsidP="003E1E62">
      <w:pPr>
        <w:spacing w:after="0"/>
        <w:ind w:left="1440" w:hanging="720"/>
        <w:rPr>
          <w:rFonts w:cstheme="minorHAnsi"/>
        </w:rPr>
      </w:pPr>
      <w:r w:rsidRPr="006030B4">
        <w:rPr>
          <w:rFonts w:cstheme="minorHAnsi"/>
        </w:rPr>
        <w:t>6.</w:t>
      </w:r>
      <w:r w:rsidRPr="006030B4">
        <w:rPr>
          <w:rFonts w:cstheme="minorHAnsi"/>
        </w:rPr>
        <w:tab/>
        <w:t>Patients with known history or current symptoms of cardiac disease, or history of treatment with cardiotoxic agents, should have a clinical risk assessment of cardiac function using the New York Heart Association Functional Classification. To be eligible for this trial, patients should be class 2B or better.</w:t>
      </w:r>
      <w:r w:rsidRPr="006030B4">
        <w:rPr>
          <w:rFonts w:cstheme="minorHAnsi"/>
        </w:rPr>
        <w:tab/>
      </w:r>
    </w:p>
    <w:p w14:paraId="0CAE9874" w14:textId="77777777" w:rsidR="003E1E62" w:rsidRPr="006030B4" w:rsidRDefault="003E1E62" w:rsidP="003E1E62">
      <w:pPr>
        <w:spacing w:after="0"/>
        <w:ind w:left="1440" w:hanging="720"/>
        <w:rPr>
          <w:rFonts w:cstheme="minorHAnsi"/>
        </w:rPr>
      </w:pPr>
    </w:p>
    <w:p w14:paraId="2DE82A4F" w14:textId="08BE279D" w:rsidR="003E1E62" w:rsidRPr="006030B4" w:rsidRDefault="003E1E62" w:rsidP="003E1E62">
      <w:pPr>
        <w:spacing w:after="0"/>
        <w:ind w:left="1440" w:hanging="720"/>
        <w:rPr>
          <w:rFonts w:cstheme="minorHAnsi"/>
        </w:rPr>
      </w:pPr>
      <w:r w:rsidRPr="006030B4">
        <w:rPr>
          <w:rFonts w:cstheme="minorHAnsi"/>
        </w:rPr>
        <w:t>7.</w:t>
      </w:r>
      <w:r w:rsidRPr="006030B4">
        <w:rPr>
          <w:rFonts w:cstheme="minorHAnsi"/>
        </w:rPr>
        <w:tab/>
        <w:t>Non-epithelial breast malignancies such as sarcoma or lymphoma.</w:t>
      </w:r>
    </w:p>
    <w:p w14:paraId="2EF4DBAC" w14:textId="77777777" w:rsidR="003E1E62" w:rsidRPr="006030B4" w:rsidRDefault="003E1E62" w:rsidP="003E1E62">
      <w:pPr>
        <w:spacing w:after="0"/>
        <w:ind w:left="1440" w:hanging="720"/>
        <w:rPr>
          <w:rFonts w:cstheme="minorHAnsi"/>
        </w:rPr>
      </w:pPr>
    </w:p>
    <w:p w14:paraId="096EFB2B" w14:textId="63D50FF1" w:rsidR="003E1E62" w:rsidRPr="006030B4" w:rsidRDefault="003E1E62" w:rsidP="003E1E62">
      <w:pPr>
        <w:spacing w:after="0"/>
        <w:ind w:left="1440" w:hanging="720"/>
        <w:rPr>
          <w:rFonts w:cstheme="minorHAnsi"/>
        </w:rPr>
      </w:pPr>
      <w:r w:rsidRPr="006030B4">
        <w:rPr>
          <w:rFonts w:cstheme="minorHAnsi"/>
        </w:rPr>
        <w:t>8.</w:t>
      </w:r>
      <w:r w:rsidRPr="006030B4">
        <w:rPr>
          <w:rFonts w:cstheme="minorHAnsi"/>
        </w:rPr>
        <w:tab/>
        <w:t>Any treatment with radiation therapy, chemotherapy, or biotherapy administered for the currently diagnosed breast cancer prior to pre-entry. (Patients with prior ET of more than 6 weeks duration for treatment of this cancer are not eligible.) Prior tamoxifen given for</w:t>
      </w:r>
    </w:p>
    <w:p w14:paraId="398BF176" w14:textId="2540B292" w:rsidR="003E1E62" w:rsidRPr="006030B4" w:rsidRDefault="003E1E62" w:rsidP="003E1E62">
      <w:pPr>
        <w:spacing w:after="0"/>
        <w:ind w:left="1440"/>
        <w:rPr>
          <w:rFonts w:cstheme="minorHAnsi"/>
        </w:rPr>
      </w:pPr>
      <w:r w:rsidRPr="006030B4">
        <w:rPr>
          <w:rFonts w:cstheme="minorHAnsi"/>
        </w:rPr>
        <w:t>breast cancer prevention is allowed. Prior AI or GnRH for fertility preservation is allowed.</w:t>
      </w:r>
    </w:p>
    <w:p w14:paraId="095F586C" w14:textId="77777777" w:rsidR="003E1E62" w:rsidRPr="006030B4" w:rsidRDefault="003E1E62" w:rsidP="003E1E62">
      <w:pPr>
        <w:spacing w:after="0"/>
        <w:rPr>
          <w:rFonts w:cstheme="minorHAnsi"/>
        </w:rPr>
      </w:pPr>
    </w:p>
    <w:p w14:paraId="28B54AE2" w14:textId="7C14223B" w:rsidR="003E1E62" w:rsidRPr="006030B4" w:rsidRDefault="003E1E62" w:rsidP="003E1E62">
      <w:pPr>
        <w:spacing w:after="0"/>
        <w:ind w:left="1440" w:hanging="720"/>
        <w:rPr>
          <w:rFonts w:cstheme="minorHAnsi"/>
        </w:rPr>
      </w:pPr>
      <w:r w:rsidRPr="006030B4">
        <w:rPr>
          <w:rFonts w:cstheme="minorHAnsi"/>
        </w:rPr>
        <w:t>9.</w:t>
      </w:r>
      <w:r w:rsidRPr="006030B4">
        <w:rPr>
          <w:rFonts w:cstheme="minorHAnsi"/>
        </w:rPr>
        <w:tab/>
        <w:t>Hormonally based contraceptive measures must be discontinued prior to pre-entry (including progestin/progesterone IUDs).</w:t>
      </w:r>
    </w:p>
    <w:p w14:paraId="54E48309" w14:textId="77777777" w:rsidR="003E1E62" w:rsidRPr="006030B4" w:rsidRDefault="003E1E62" w:rsidP="003E1E62">
      <w:pPr>
        <w:spacing w:after="0"/>
        <w:ind w:left="1440" w:hanging="720"/>
        <w:rPr>
          <w:rFonts w:cstheme="minorHAnsi"/>
        </w:rPr>
      </w:pPr>
    </w:p>
    <w:p w14:paraId="252C777E" w14:textId="7528A582" w:rsidR="003E1E62" w:rsidRPr="006030B4" w:rsidRDefault="003E1E62" w:rsidP="003E1E62">
      <w:pPr>
        <w:spacing w:after="0"/>
        <w:ind w:left="1440" w:hanging="720"/>
        <w:rPr>
          <w:rFonts w:cstheme="minorHAnsi"/>
        </w:rPr>
      </w:pPr>
      <w:r w:rsidRPr="006030B4">
        <w:rPr>
          <w:rFonts w:cstheme="minorHAnsi"/>
        </w:rPr>
        <w:t xml:space="preserve">10. </w:t>
      </w:r>
      <w:r w:rsidRPr="006030B4">
        <w:rPr>
          <w:rFonts w:cstheme="minorHAnsi"/>
        </w:rPr>
        <w:tab/>
        <w:t>Patients with evidence of chronic hepatitis B virus (HBV) infection are ineligible unless the HBV viral load is undetectable on suppressive therapy. Patients with a history of hepatitis C virus (HCV) infection are ineligible unless they have been treated and cured or have an undetectable HCV viral load if still on active therapy.</w:t>
      </w:r>
    </w:p>
    <w:p w14:paraId="5EECCC0D" w14:textId="77777777" w:rsidR="003E1E62" w:rsidRPr="006030B4" w:rsidRDefault="003E1E62" w:rsidP="003E1E62">
      <w:pPr>
        <w:spacing w:after="0"/>
        <w:ind w:left="1440" w:hanging="720"/>
        <w:rPr>
          <w:rFonts w:cstheme="minorHAnsi"/>
        </w:rPr>
      </w:pPr>
    </w:p>
    <w:p w14:paraId="350717CC" w14:textId="5D63896B" w:rsidR="003E1E62" w:rsidRPr="006030B4" w:rsidRDefault="003E1E62" w:rsidP="003E1E62">
      <w:pPr>
        <w:spacing w:after="0"/>
        <w:ind w:left="1440" w:hanging="720"/>
        <w:rPr>
          <w:rFonts w:cstheme="minorHAnsi"/>
          <w:b/>
          <w:bCs/>
          <w:i/>
          <w:iCs/>
        </w:rPr>
      </w:pPr>
      <w:r w:rsidRPr="006030B4">
        <w:rPr>
          <w:rFonts w:cstheme="minorHAnsi"/>
        </w:rPr>
        <w:t>11.</w:t>
      </w:r>
      <w:r w:rsidRPr="006030B4">
        <w:rPr>
          <w:rFonts w:cstheme="minorHAnsi"/>
        </w:rPr>
        <w:tab/>
        <w:t xml:space="preserve">Pregnancy or lactation at the time of pre-entry. </w:t>
      </w:r>
      <w:r w:rsidRPr="006030B4">
        <w:rPr>
          <w:rFonts w:cstheme="minorHAnsi"/>
          <w:b/>
          <w:bCs/>
          <w:i/>
          <w:iCs/>
        </w:rPr>
        <w:t>(Note: Pregnancy testing according to institutional standards for women of childbearing potential must be performed within 2 weeks prior to pre-entry.)</w:t>
      </w:r>
    </w:p>
    <w:p w14:paraId="62BD85F9" w14:textId="769C1D40" w:rsidR="00A75CAF" w:rsidRPr="006030B4" w:rsidRDefault="00A75CAF" w:rsidP="00A75CAF">
      <w:pPr>
        <w:spacing w:after="0"/>
        <w:rPr>
          <w:rFonts w:cstheme="minorHAnsi"/>
        </w:rPr>
      </w:pPr>
      <w:r w:rsidRPr="006030B4">
        <w:rPr>
          <w:rFonts w:cstheme="minorHAnsi"/>
        </w:rPr>
        <w:tab/>
      </w:r>
      <w:r w:rsidRPr="006030B4">
        <w:rPr>
          <w:rFonts w:cstheme="minorHAnsi"/>
        </w:rPr>
        <w:tab/>
      </w:r>
    </w:p>
    <w:p w14:paraId="47E4BB9A" w14:textId="793D769D" w:rsidR="003E1E62" w:rsidRPr="006030B4" w:rsidRDefault="003E1E62" w:rsidP="003E1E62">
      <w:pPr>
        <w:spacing w:after="0"/>
        <w:ind w:left="1440" w:hanging="720"/>
        <w:rPr>
          <w:rFonts w:cstheme="minorHAnsi"/>
        </w:rPr>
      </w:pPr>
      <w:r w:rsidRPr="006030B4">
        <w:rPr>
          <w:rFonts w:cstheme="minorHAnsi"/>
        </w:rPr>
        <w:t>12.</w:t>
      </w:r>
      <w:r w:rsidRPr="006030B4">
        <w:rPr>
          <w:rFonts w:cstheme="minorHAnsi"/>
        </w:rPr>
        <w:tab/>
        <w:t>Other conditions that, in the opinion of the investigator, would preclude the patient from meeting the study requirements or interfere with interpretation of study results.</w:t>
      </w:r>
    </w:p>
    <w:p w14:paraId="03258013" w14:textId="77777777" w:rsidR="003E1E62" w:rsidRPr="006030B4" w:rsidRDefault="003E1E62" w:rsidP="003E1E62">
      <w:pPr>
        <w:spacing w:after="0"/>
        <w:rPr>
          <w:rFonts w:cstheme="minorHAnsi"/>
          <w:b/>
          <w:bCs/>
          <w:u w:val="single"/>
        </w:rPr>
      </w:pPr>
    </w:p>
    <w:p w14:paraId="182E46A4" w14:textId="77777777" w:rsidR="005B4EC6" w:rsidRPr="006030B4" w:rsidRDefault="005B4EC6" w:rsidP="005B4EC6">
      <w:pPr>
        <w:autoSpaceDE w:val="0"/>
        <w:autoSpaceDN w:val="0"/>
        <w:adjustRightInd w:val="0"/>
        <w:spacing w:after="0" w:line="240" w:lineRule="auto"/>
        <w:rPr>
          <w:rFonts w:cstheme="minorHAnsi"/>
          <w:b/>
          <w:bCs/>
          <w:u w:val="single"/>
        </w:rPr>
      </w:pPr>
    </w:p>
    <w:p w14:paraId="067A64DC" w14:textId="77777777" w:rsidR="0009068A" w:rsidRPr="006030B4" w:rsidRDefault="0009068A" w:rsidP="005B4EC6">
      <w:pPr>
        <w:autoSpaceDE w:val="0"/>
        <w:autoSpaceDN w:val="0"/>
        <w:adjustRightInd w:val="0"/>
        <w:spacing w:after="0" w:line="240" w:lineRule="auto"/>
        <w:rPr>
          <w:rFonts w:cstheme="minorHAnsi"/>
          <w:b/>
          <w:bCs/>
          <w:u w:val="single"/>
        </w:rPr>
      </w:pPr>
    </w:p>
    <w:p w14:paraId="4E836EED" w14:textId="13CF9FEF" w:rsidR="0009068A" w:rsidRPr="006030B4" w:rsidRDefault="0009068A" w:rsidP="005B4EC6">
      <w:pPr>
        <w:autoSpaceDE w:val="0"/>
        <w:autoSpaceDN w:val="0"/>
        <w:adjustRightInd w:val="0"/>
        <w:spacing w:after="0" w:line="240" w:lineRule="auto"/>
        <w:rPr>
          <w:rFonts w:cstheme="minorHAnsi"/>
          <w:b/>
          <w:bCs/>
          <w:u w:val="single"/>
        </w:rPr>
      </w:pPr>
      <w:r w:rsidRPr="006030B4">
        <w:rPr>
          <w:rFonts w:cstheme="minorHAnsi"/>
          <w:noProof/>
        </w:rPr>
        <w:lastRenderedPageBreak/>
        <w:drawing>
          <wp:inline distT="0" distB="0" distL="0" distR="0" wp14:anchorId="1F374FC5" wp14:editId="27FBF808">
            <wp:extent cx="5486400" cy="6067425"/>
            <wp:effectExtent l="0" t="0" r="0" b="9525"/>
            <wp:docPr id="747210456" name="Picture 1" descr="A diagram of a patient's heal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10456" name="Picture 1" descr="A diagram of a patient's health&#10;&#10;Description automatically generated"/>
                    <pic:cNvPicPr/>
                  </pic:nvPicPr>
                  <pic:blipFill>
                    <a:blip r:embed="rId11"/>
                    <a:stretch>
                      <a:fillRect/>
                    </a:stretch>
                  </pic:blipFill>
                  <pic:spPr>
                    <a:xfrm>
                      <a:off x="0" y="0"/>
                      <a:ext cx="5486400" cy="6067425"/>
                    </a:xfrm>
                    <a:prstGeom prst="rect">
                      <a:avLst/>
                    </a:prstGeom>
                  </pic:spPr>
                </pic:pic>
              </a:graphicData>
            </a:graphic>
          </wp:inline>
        </w:drawing>
      </w:r>
    </w:p>
    <w:p w14:paraId="5FADF130" w14:textId="77777777" w:rsidR="005B4EC6" w:rsidRPr="006030B4" w:rsidRDefault="005B4EC6" w:rsidP="005B4EC6">
      <w:pPr>
        <w:autoSpaceDE w:val="0"/>
        <w:autoSpaceDN w:val="0"/>
        <w:adjustRightInd w:val="0"/>
        <w:spacing w:after="0" w:line="240" w:lineRule="auto"/>
        <w:rPr>
          <w:rFonts w:cstheme="minorHAnsi"/>
          <w:b/>
          <w:bCs/>
          <w:u w:val="single"/>
        </w:rPr>
      </w:pPr>
    </w:p>
    <w:p w14:paraId="47608C5B" w14:textId="77777777" w:rsidR="005B4EC6" w:rsidRPr="006030B4" w:rsidRDefault="005B4EC6" w:rsidP="005B4EC6">
      <w:pPr>
        <w:autoSpaceDE w:val="0"/>
        <w:autoSpaceDN w:val="0"/>
        <w:adjustRightInd w:val="0"/>
        <w:spacing w:after="0" w:line="240" w:lineRule="auto"/>
        <w:rPr>
          <w:rFonts w:cstheme="minorHAnsi"/>
          <w:b/>
          <w:bCs/>
          <w:u w:val="single"/>
        </w:rPr>
      </w:pPr>
    </w:p>
    <w:p w14:paraId="2B2EE0E6" w14:textId="77777777" w:rsidR="005B4EC6" w:rsidRPr="006030B4" w:rsidRDefault="005B4EC6" w:rsidP="005B4EC6">
      <w:pPr>
        <w:autoSpaceDE w:val="0"/>
        <w:autoSpaceDN w:val="0"/>
        <w:adjustRightInd w:val="0"/>
        <w:spacing w:after="0" w:line="240" w:lineRule="auto"/>
        <w:rPr>
          <w:rFonts w:cstheme="minorHAnsi"/>
          <w:b/>
          <w:bCs/>
          <w:u w:val="single"/>
        </w:rPr>
      </w:pPr>
    </w:p>
    <w:p w14:paraId="1F83FAC9" w14:textId="77777777" w:rsidR="005B4EC6" w:rsidRPr="006030B4" w:rsidRDefault="005B4EC6" w:rsidP="005B4EC6">
      <w:pPr>
        <w:autoSpaceDE w:val="0"/>
        <w:autoSpaceDN w:val="0"/>
        <w:adjustRightInd w:val="0"/>
        <w:spacing w:after="0" w:line="240" w:lineRule="auto"/>
        <w:rPr>
          <w:rFonts w:cstheme="minorHAnsi"/>
          <w:b/>
          <w:bCs/>
          <w:u w:val="single"/>
        </w:rPr>
      </w:pPr>
    </w:p>
    <w:p w14:paraId="054D9D6E" w14:textId="77777777" w:rsidR="00A73DD5" w:rsidRPr="006030B4" w:rsidRDefault="00A73DD5" w:rsidP="00A73DD5">
      <w:pPr>
        <w:pStyle w:val="ListParagraph"/>
        <w:rPr>
          <w:rFonts w:cstheme="minorHAnsi"/>
        </w:rPr>
      </w:pPr>
    </w:p>
    <w:p w14:paraId="0135BAD8" w14:textId="77777777" w:rsidR="00A73DD5" w:rsidRPr="006030B4" w:rsidRDefault="00A73DD5" w:rsidP="00A73DD5">
      <w:pPr>
        <w:pStyle w:val="ListParagraph"/>
        <w:autoSpaceDE w:val="0"/>
        <w:autoSpaceDN w:val="0"/>
        <w:adjustRightInd w:val="0"/>
        <w:spacing w:after="0" w:line="240" w:lineRule="auto"/>
        <w:ind w:left="1080"/>
        <w:rPr>
          <w:rFonts w:cstheme="minorHAnsi"/>
        </w:rPr>
      </w:pPr>
    </w:p>
    <w:p w14:paraId="4BE0CF4E" w14:textId="77777777" w:rsidR="00A73DD5" w:rsidRPr="006030B4" w:rsidRDefault="00A73DD5" w:rsidP="00A73DD5">
      <w:pPr>
        <w:pStyle w:val="ListParagraph"/>
        <w:autoSpaceDE w:val="0"/>
        <w:autoSpaceDN w:val="0"/>
        <w:adjustRightInd w:val="0"/>
        <w:spacing w:after="0" w:line="240" w:lineRule="auto"/>
        <w:ind w:left="1080"/>
        <w:rPr>
          <w:rFonts w:cstheme="minorHAnsi"/>
        </w:rPr>
      </w:pPr>
    </w:p>
    <w:p w14:paraId="17337D7A" w14:textId="77777777" w:rsidR="00A73DD5" w:rsidRPr="006030B4" w:rsidRDefault="00A73DD5" w:rsidP="00A73DD5">
      <w:pPr>
        <w:pStyle w:val="ListParagraph"/>
        <w:autoSpaceDE w:val="0"/>
        <w:autoSpaceDN w:val="0"/>
        <w:adjustRightInd w:val="0"/>
        <w:spacing w:after="0" w:line="240" w:lineRule="auto"/>
        <w:ind w:left="1080"/>
        <w:rPr>
          <w:rFonts w:cstheme="minorHAnsi"/>
        </w:rPr>
      </w:pPr>
    </w:p>
    <w:p w14:paraId="5F0356C0" w14:textId="78B0F894" w:rsidR="00F02284" w:rsidRPr="006030B4" w:rsidRDefault="00F02284" w:rsidP="00311373">
      <w:pPr>
        <w:autoSpaceDE w:val="0"/>
        <w:autoSpaceDN w:val="0"/>
        <w:adjustRightInd w:val="0"/>
        <w:spacing w:after="0" w:line="240" w:lineRule="auto"/>
        <w:rPr>
          <w:rFonts w:cstheme="minorHAnsi"/>
          <w:b/>
          <w:bCs/>
        </w:rPr>
      </w:pPr>
    </w:p>
    <w:sectPr w:rsidR="00F02284" w:rsidRPr="006030B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4DD8" w14:textId="77777777" w:rsidR="000269EB" w:rsidRDefault="000269EB" w:rsidP="000B50D1">
      <w:pPr>
        <w:spacing w:after="0" w:line="240" w:lineRule="auto"/>
      </w:pPr>
      <w:r>
        <w:separator/>
      </w:r>
    </w:p>
  </w:endnote>
  <w:endnote w:type="continuationSeparator" w:id="0">
    <w:p w14:paraId="016D130D" w14:textId="77777777" w:rsidR="000269EB" w:rsidRDefault="000269EB" w:rsidP="000B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4C760" w14:textId="22A0EFCC" w:rsidR="000B50D1" w:rsidRPr="000B50D1" w:rsidRDefault="000B50D1">
    <w:pPr>
      <w:pStyle w:val="Footer"/>
      <w:rPr>
        <w:rFonts w:ascii="Times New Roman" w:hAnsi="Times New Roman" w:cs="Times New Roman"/>
        <w:sz w:val="20"/>
      </w:rPr>
    </w:pPr>
    <w:r w:rsidRPr="000B50D1">
      <w:rPr>
        <w:rFonts w:ascii="Times New Roman" w:hAnsi="Times New Roman" w:cs="Times New Roman"/>
        <w:sz w:val="20"/>
      </w:rPr>
      <w:t>[pv_</w:t>
    </w:r>
    <w:r w:rsidR="008972FE">
      <w:rPr>
        <w:rFonts w:ascii="Times New Roman" w:hAnsi="Times New Roman" w:cs="Times New Roman"/>
        <w:sz w:val="20"/>
      </w:rPr>
      <w:t>7</w:t>
    </w:r>
    <w:r w:rsidR="000A0B73">
      <w:rPr>
        <w:rFonts w:ascii="Times New Roman" w:hAnsi="Times New Roman" w:cs="Times New Roman"/>
        <w:sz w:val="20"/>
      </w:rPr>
      <w:t>-</w:t>
    </w:r>
    <w:r w:rsidR="006606D3">
      <w:rPr>
        <w:rFonts w:ascii="Times New Roman" w:hAnsi="Times New Roman" w:cs="Times New Roman"/>
        <w:sz w:val="20"/>
      </w:rPr>
      <w:t>2</w:t>
    </w:r>
    <w:r w:rsidR="004F2D3F">
      <w:rPr>
        <w:rFonts w:ascii="Times New Roman" w:hAnsi="Times New Roman" w:cs="Times New Roman"/>
        <w:sz w:val="20"/>
      </w:rPr>
      <w:t>7</w:t>
    </w:r>
    <w:r w:rsidR="000A0B73">
      <w:rPr>
        <w:rFonts w:ascii="Times New Roman" w:hAnsi="Times New Roman" w:cs="Times New Roman"/>
        <w:sz w:val="20"/>
      </w:rPr>
      <w:t>-2</w:t>
    </w:r>
    <w:r w:rsidR="00C5084B">
      <w:rPr>
        <w:rFonts w:ascii="Times New Roman" w:hAnsi="Times New Roman" w:cs="Times New Roman"/>
        <w:sz w:val="20"/>
      </w:rPr>
      <w:t>3</w:t>
    </w:r>
    <w:r w:rsidRPr="000B50D1">
      <w:rPr>
        <w:rFonts w:ascii="Times New Roman" w:hAnsi="Times New Roman" w:cs="Times New Roman"/>
        <w:sz w:val="20"/>
      </w:rPr>
      <w:t>]</w:t>
    </w:r>
    <w:r w:rsidRPr="000B50D1">
      <w:rPr>
        <w:rFonts w:ascii="Times New Roman" w:hAnsi="Times New Roman" w:cs="Times New Roman"/>
        <w:sz w:val="20"/>
      </w:rPr>
      <w:tab/>
      <w:t xml:space="preserve">Version </w:t>
    </w:r>
    <w:r w:rsidR="00A421BA">
      <w:rPr>
        <w:rFonts w:ascii="Times New Roman" w:hAnsi="Times New Roman" w:cs="Times New Roman"/>
        <w:sz w:val="20"/>
      </w:rPr>
      <w:t>1</w:t>
    </w:r>
    <w:r w:rsidRPr="000B50D1">
      <w:rPr>
        <w:rFonts w:ascii="Times New Roman" w:hAnsi="Times New Roman" w:cs="Times New Roman"/>
        <w:sz w:val="20"/>
      </w:rPr>
      <w:tab/>
    </w:r>
    <w:r w:rsidR="006606D3">
      <w:rPr>
        <w:rFonts w:ascii="Times New Roman" w:hAnsi="Times New Roman" w:cs="Times New Roman"/>
        <w:sz w:val="20"/>
      </w:rPr>
      <w:t>NRG BR009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6F71A" w14:textId="77777777" w:rsidR="000269EB" w:rsidRDefault="000269EB" w:rsidP="000B50D1">
      <w:pPr>
        <w:spacing w:after="0" w:line="240" w:lineRule="auto"/>
      </w:pPr>
      <w:r>
        <w:separator/>
      </w:r>
    </w:p>
  </w:footnote>
  <w:footnote w:type="continuationSeparator" w:id="0">
    <w:p w14:paraId="40EF78A9" w14:textId="77777777" w:rsidR="000269EB" w:rsidRDefault="000269EB" w:rsidP="000B5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Times New Roman" w:hAnsi="Times New Roman" w:cs="Times New Roman"/>
        <w:sz w:val="20"/>
        <w:szCs w:val="20"/>
      </w:rPr>
    </w:sdtEndPr>
    <w:sdtContent>
      <w:p w14:paraId="14397DAD" w14:textId="77777777" w:rsidR="000B50D1" w:rsidRPr="000B50D1" w:rsidRDefault="000B50D1">
        <w:pPr>
          <w:pStyle w:val="Header"/>
          <w:jc w:val="right"/>
          <w:rPr>
            <w:rFonts w:ascii="Times New Roman" w:hAnsi="Times New Roman" w:cs="Times New Roman"/>
            <w:sz w:val="20"/>
            <w:szCs w:val="20"/>
          </w:rPr>
        </w:pPr>
        <w:r w:rsidRPr="000B50D1">
          <w:rPr>
            <w:rFonts w:ascii="Times New Roman" w:hAnsi="Times New Roman" w:cs="Times New Roman"/>
            <w:sz w:val="20"/>
            <w:szCs w:val="20"/>
          </w:rPr>
          <w:t xml:space="preserve">Page </w:t>
        </w:r>
        <w:r w:rsidRPr="000B50D1">
          <w:rPr>
            <w:rFonts w:ascii="Times New Roman" w:hAnsi="Times New Roman" w:cs="Times New Roman"/>
            <w:b/>
            <w:bCs/>
            <w:sz w:val="20"/>
            <w:szCs w:val="20"/>
          </w:rPr>
          <w:fldChar w:fldCharType="begin"/>
        </w:r>
        <w:r w:rsidRPr="000B50D1">
          <w:rPr>
            <w:rFonts w:ascii="Times New Roman" w:hAnsi="Times New Roman" w:cs="Times New Roman"/>
            <w:b/>
            <w:bCs/>
            <w:sz w:val="20"/>
            <w:szCs w:val="20"/>
          </w:rPr>
          <w:instrText xml:space="preserve"> PAGE </w:instrText>
        </w:r>
        <w:r w:rsidRPr="000B50D1">
          <w:rPr>
            <w:rFonts w:ascii="Times New Roman" w:hAnsi="Times New Roman" w:cs="Times New Roman"/>
            <w:b/>
            <w:bCs/>
            <w:sz w:val="20"/>
            <w:szCs w:val="20"/>
          </w:rPr>
          <w:fldChar w:fldCharType="separate"/>
        </w:r>
        <w:r w:rsidR="00B60179">
          <w:rPr>
            <w:rFonts w:ascii="Times New Roman" w:hAnsi="Times New Roman" w:cs="Times New Roman"/>
            <w:b/>
            <w:bCs/>
            <w:noProof/>
            <w:sz w:val="20"/>
            <w:szCs w:val="20"/>
          </w:rPr>
          <w:t>1</w:t>
        </w:r>
        <w:r w:rsidRPr="000B50D1">
          <w:rPr>
            <w:rFonts w:ascii="Times New Roman" w:hAnsi="Times New Roman" w:cs="Times New Roman"/>
            <w:b/>
            <w:bCs/>
            <w:sz w:val="20"/>
            <w:szCs w:val="20"/>
          </w:rPr>
          <w:fldChar w:fldCharType="end"/>
        </w:r>
        <w:r w:rsidRPr="000B50D1">
          <w:rPr>
            <w:rFonts w:ascii="Times New Roman" w:hAnsi="Times New Roman" w:cs="Times New Roman"/>
            <w:sz w:val="20"/>
            <w:szCs w:val="20"/>
          </w:rPr>
          <w:t xml:space="preserve"> of </w:t>
        </w:r>
        <w:r w:rsidRPr="000B50D1">
          <w:rPr>
            <w:rFonts w:ascii="Times New Roman" w:hAnsi="Times New Roman" w:cs="Times New Roman"/>
            <w:b/>
            <w:bCs/>
            <w:sz w:val="20"/>
            <w:szCs w:val="20"/>
          </w:rPr>
          <w:fldChar w:fldCharType="begin"/>
        </w:r>
        <w:r w:rsidRPr="000B50D1">
          <w:rPr>
            <w:rFonts w:ascii="Times New Roman" w:hAnsi="Times New Roman" w:cs="Times New Roman"/>
            <w:b/>
            <w:bCs/>
            <w:sz w:val="20"/>
            <w:szCs w:val="20"/>
          </w:rPr>
          <w:instrText xml:space="preserve"> NUMPAGES  </w:instrText>
        </w:r>
        <w:r w:rsidRPr="000B50D1">
          <w:rPr>
            <w:rFonts w:ascii="Times New Roman" w:hAnsi="Times New Roman" w:cs="Times New Roman"/>
            <w:b/>
            <w:bCs/>
            <w:sz w:val="20"/>
            <w:szCs w:val="20"/>
          </w:rPr>
          <w:fldChar w:fldCharType="separate"/>
        </w:r>
        <w:r w:rsidR="00B60179">
          <w:rPr>
            <w:rFonts w:ascii="Times New Roman" w:hAnsi="Times New Roman" w:cs="Times New Roman"/>
            <w:b/>
            <w:bCs/>
            <w:noProof/>
            <w:sz w:val="20"/>
            <w:szCs w:val="20"/>
          </w:rPr>
          <w:t>4</w:t>
        </w:r>
        <w:r w:rsidRPr="000B50D1">
          <w:rPr>
            <w:rFonts w:ascii="Times New Roman" w:hAnsi="Times New Roman" w:cs="Times New Roman"/>
            <w:b/>
            <w:bCs/>
            <w:sz w:val="20"/>
            <w:szCs w:val="20"/>
          </w:rPr>
          <w:fldChar w:fldCharType="end"/>
        </w:r>
      </w:p>
    </w:sdtContent>
  </w:sdt>
  <w:p w14:paraId="7C970AAC" w14:textId="77777777" w:rsidR="000B50D1" w:rsidRDefault="000B5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D0D"/>
    <w:multiLevelType w:val="hybridMultilevel"/>
    <w:tmpl w:val="DB504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51859"/>
    <w:multiLevelType w:val="hybridMultilevel"/>
    <w:tmpl w:val="80F49226"/>
    <w:lvl w:ilvl="0" w:tplc="B2D87E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27B07"/>
    <w:multiLevelType w:val="hybridMultilevel"/>
    <w:tmpl w:val="B150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875E5"/>
    <w:multiLevelType w:val="hybridMultilevel"/>
    <w:tmpl w:val="25C4405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11D74"/>
    <w:multiLevelType w:val="hybridMultilevel"/>
    <w:tmpl w:val="51CC7430"/>
    <w:lvl w:ilvl="0" w:tplc="04090019">
      <w:start w:val="1"/>
      <w:numFmt w:val="lowerLetter"/>
      <w:lvlText w:val="%1."/>
      <w:lvlJc w:val="left"/>
      <w:pPr>
        <w:ind w:left="720" w:hanging="360"/>
      </w:pPr>
      <w:rPr>
        <w:rFonts w:hint="default"/>
        <w:sz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872E9"/>
    <w:multiLevelType w:val="hybridMultilevel"/>
    <w:tmpl w:val="681C94AE"/>
    <w:lvl w:ilvl="0" w:tplc="04090019">
      <w:start w:val="1"/>
      <w:numFmt w:val="lowerLetter"/>
      <w:lvlText w:val="%1."/>
      <w:lvlJc w:val="left"/>
      <w:pPr>
        <w:ind w:left="720" w:hanging="360"/>
      </w:pPr>
      <w:rPr>
        <w:rFonts w:hint="default"/>
        <w:sz w:val="2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90427"/>
    <w:multiLevelType w:val="hybridMultilevel"/>
    <w:tmpl w:val="1376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974BC"/>
    <w:multiLevelType w:val="hybridMultilevel"/>
    <w:tmpl w:val="F560F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10EB1"/>
    <w:multiLevelType w:val="hybridMultilevel"/>
    <w:tmpl w:val="931ADE3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AE681A"/>
    <w:multiLevelType w:val="hybridMultilevel"/>
    <w:tmpl w:val="27765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084"/>
    <w:multiLevelType w:val="hybridMultilevel"/>
    <w:tmpl w:val="332EE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66D32"/>
    <w:multiLevelType w:val="hybridMultilevel"/>
    <w:tmpl w:val="AA82EE5C"/>
    <w:lvl w:ilvl="0" w:tplc="04090019">
      <w:start w:val="1"/>
      <w:numFmt w:val="lowerLetter"/>
      <w:lvlText w:val="%1."/>
      <w:lvlJc w:val="left"/>
      <w:pPr>
        <w:ind w:left="720" w:hanging="360"/>
      </w:pPr>
      <w:rPr>
        <w:rFonts w:hint="default"/>
        <w:sz w:val="20"/>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87579"/>
    <w:multiLevelType w:val="hybridMultilevel"/>
    <w:tmpl w:val="7B003ED2"/>
    <w:lvl w:ilvl="0" w:tplc="C4A8F01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15:restartNumberingAfterBreak="0">
    <w:nsid w:val="2A094F10"/>
    <w:multiLevelType w:val="hybridMultilevel"/>
    <w:tmpl w:val="E396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42CA9"/>
    <w:multiLevelType w:val="hybridMultilevel"/>
    <w:tmpl w:val="F6060B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0F3D6C"/>
    <w:multiLevelType w:val="hybridMultilevel"/>
    <w:tmpl w:val="D1D2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55C99"/>
    <w:multiLevelType w:val="hybridMultilevel"/>
    <w:tmpl w:val="DB329DDA"/>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726D8"/>
    <w:multiLevelType w:val="hybridMultilevel"/>
    <w:tmpl w:val="8222C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F57AD"/>
    <w:multiLevelType w:val="hybridMultilevel"/>
    <w:tmpl w:val="461E4844"/>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523C0B"/>
    <w:multiLevelType w:val="hybridMultilevel"/>
    <w:tmpl w:val="57C81D90"/>
    <w:lvl w:ilvl="0" w:tplc="6108F6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603FE"/>
    <w:multiLevelType w:val="hybridMultilevel"/>
    <w:tmpl w:val="BD34EEDA"/>
    <w:lvl w:ilvl="0" w:tplc="04090019">
      <w:start w:val="1"/>
      <w:numFmt w:val="lowerLetter"/>
      <w:lvlText w:val="%1."/>
      <w:lvlJc w:val="left"/>
      <w:pPr>
        <w:ind w:left="720" w:hanging="360"/>
      </w:pPr>
      <w:rPr>
        <w:rFonts w:hint="default"/>
        <w:sz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341D3E"/>
    <w:multiLevelType w:val="hybridMultilevel"/>
    <w:tmpl w:val="F08CC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EB74F0"/>
    <w:multiLevelType w:val="hybridMultilevel"/>
    <w:tmpl w:val="F5186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BD5BB5"/>
    <w:multiLevelType w:val="hybridMultilevel"/>
    <w:tmpl w:val="565439EA"/>
    <w:lvl w:ilvl="0" w:tplc="09C07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397C87"/>
    <w:multiLevelType w:val="hybridMultilevel"/>
    <w:tmpl w:val="211C969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045EF"/>
    <w:multiLevelType w:val="hybridMultilevel"/>
    <w:tmpl w:val="51A6A51E"/>
    <w:lvl w:ilvl="0" w:tplc="4AFC0BCE">
      <w:start w:val="1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9B46B48"/>
    <w:multiLevelType w:val="hybridMultilevel"/>
    <w:tmpl w:val="F560F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B0B65"/>
    <w:multiLevelType w:val="hybridMultilevel"/>
    <w:tmpl w:val="A9AEF442"/>
    <w:lvl w:ilvl="0" w:tplc="04090019">
      <w:start w:val="1"/>
      <w:numFmt w:val="lowerLetter"/>
      <w:lvlText w:val="%1."/>
      <w:lvlJc w:val="left"/>
      <w:pPr>
        <w:ind w:left="720" w:hanging="360"/>
      </w:pPr>
      <w:rPr>
        <w:rFonts w:hint="default"/>
        <w:sz w:val="2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D82B69"/>
    <w:multiLevelType w:val="hybridMultilevel"/>
    <w:tmpl w:val="A32099EC"/>
    <w:lvl w:ilvl="0" w:tplc="3954C2FA">
      <w:start w:val="1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64C1296"/>
    <w:multiLevelType w:val="hybridMultilevel"/>
    <w:tmpl w:val="749CE3A4"/>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B6791"/>
    <w:multiLevelType w:val="hybridMultilevel"/>
    <w:tmpl w:val="4EEE6768"/>
    <w:lvl w:ilvl="0" w:tplc="EA04409E">
      <w:start w:val="11"/>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B361878"/>
    <w:multiLevelType w:val="hybridMultilevel"/>
    <w:tmpl w:val="633A2324"/>
    <w:lvl w:ilvl="0" w:tplc="A59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4339E0"/>
    <w:multiLevelType w:val="hybridMultilevel"/>
    <w:tmpl w:val="384E8860"/>
    <w:lvl w:ilvl="0" w:tplc="BB460780">
      <w:start w:val="1"/>
      <w:numFmt w:val="lowerLetter"/>
      <w:lvlText w:val="%1."/>
      <w:lvlJc w:val="left"/>
      <w:pPr>
        <w:ind w:left="1080" w:hanging="360"/>
      </w:pPr>
      <w:rPr>
        <w:rFonts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4152102">
    <w:abstractNumId w:val="24"/>
  </w:num>
  <w:num w:numId="2" w16cid:durableId="606156552">
    <w:abstractNumId w:val="15"/>
  </w:num>
  <w:num w:numId="3" w16cid:durableId="641496060">
    <w:abstractNumId w:val="32"/>
  </w:num>
  <w:num w:numId="4" w16cid:durableId="1732607298">
    <w:abstractNumId w:val="29"/>
  </w:num>
  <w:num w:numId="5" w16cid:durableId="283971408">
    <w:abstractNumId w:val="17"/>
  </w:num>
  <w:num w:numId="6" w16cid:durableId="1554342643">
    <w:abstractNumId w:val="16"/>
  </w:num>
  <w:num w:numId="7" w16cid:durableId="838813639">
    <w:abstractNumId w:val="10"/>
  </w:num>
  <w:num w:numId="8" w16cid:durableId="900943118">
    <w:abstractNumId w:val="4"/>
  </w:num>
  <w:num w:numId="9" w16cid:durableId="1912232861">
    <w:abstractNumId w:val="20"/>
  </w:num>
  <w:num w:numId="10" w16cid:durableId="747120442">
    <w:abstractNumId w:val="14"/>
  </w:num>
  <w:num w:numId="11" w16cid:durableId="460466013">
    <w:abstractNumId w:val="27"/>
  </w:num>
  <w:num w:numId="12" w16cid:durableId="274484877">
    <w:abstractNumId w:val="22"/>
  </w:num>
  <w:num w:numId="13" w16cid:durableId="1542352961">
    <w:abstractNumId w:val="2"/>
  </w:num>
  <w:num w:numId="14" w16cid:durableId="642078791">
    <w:abstractNumId w:val="26"/>
  </w:num>
  <w:num w:numId="15" w16cid:durableId="1311062492">
    <w:abstractNumId w:val="7"/>
  </w:num>
  <w:num w:numId="16" w16cid:durableId="1978997863">
    <w:abstractNumId w:val="13"/>
  </w:num>
  <w:num w:numId="17" w16cid:durableId="1758405865">
    <w:abstractNumId w:val="11"/>
  </w:num>
  <w:num w:numId="18" w16cid:durableId="1581866040">
    <w:abstractNumId w:val="5"/>
  </w:num>
  <w:num w:numId="19" w16cid:durableId="1003514700">
    <w:abstractNumId w:val="18"/>
  </w:num>
  <w:num w:numId="20" w16cid:durableId="1336416453">
    <w:abstractNumId w:val="3"/>
  </w:num>
  <w:num w:numId="21" w16cid:durableId="135808025">
    <w:abstractNumId w:val="8"/>
  </w:num>
  <w:num w:numId="22" w16cid:durableId="990715730">
    <w:abstractNumId w:val="0"/>
  </w:num>
  <w:num w:numId="23" w16cid:durableId="578635064">
    <w:abstractNumId w:val="9"/>
  </w:num>
  <w:num w:numId="24" w16cid:durableId="1691833254">
    <w:abstractNumId w:val="31"/>
  </w:num>
  <w:num w:numId="25" w16cid:durableId="725488292">
    <w:abstractNumId w:val="1"/>
  </w:num>
  <w:num w:numId="26" w16cid:durableId="320043745">
    <w:abstractNumId w:val="12"/>
  </w:num>
  <w:num w:numId="27" w16cid:durableId="878858872">
    <w:abstractNumId w:val="19"/>
  </w:num>
  <w:num w:numId="28" w16cid:durableId="213472568">
    <w:abstractNumId w:val="23"/>
  </w:num>
  <w:num w:numId="29" w16cid:durableId="332412945">
    <w:abstractNumId w:val="25"/>
  </w:num>
  <w:num w:numId="30" w16cid:durableId="1342661454">
    <w:abstractNumId w:val="30"/>
  </w:num>
  <w:num w:numId="31" w16cid:durableId="1733775052">
    <w:abstractNumId w:val="28"/>
  </w:num>
  <w:num w:numId="32" w16cid:durableId="1345400906">
    <w:abstractNumId w:val="21"/>
  </w:num>
  <w:num w:numId="33" w16cid:durableId="1212644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D1"/>
    <w:rsid w:val="000269EB"/>
    <w:rsid w:val="00082A79"/>
    <w:rsid w:val="00083019"/>
    <w:rsid w:val="0009068A"/>
    <w:rsid w:val="00096DB1"/>
    <w:rsid w:val="000A0B73"/>
    <w:rsid w:val="000B50D1"/>
    <w:rsid w:val="001409EE"/>
    <w:rsid w:val="00154089"/>
    <w:rsid w:val="0017795B"/>
    <w:rsid w:val="001A1A64"/>
    <w:rsid w:val="001B093B"/>
    <w:rsid w:val="001D6C5E"/>
    <w:rsid w:val="00226D39"/>
    <w:rsid w:val="002335A1"/>
    <w:rsid w:val="00251CC7"/>
    <w:rsid w:val="002741BF"/>
    <w:rsid w:val="002776AD"/>
    <w:rsid w:val="00280657"/>
    <w:rsid w:val="00287277"/>
    <w:rsid w:val="002D2DD2"/>
    <w:rsid w:val="00311373"/>
    <w:rsid w:val="00314FCE"/>
    <w:rsid w:val="00345032"/>
    <w:rsid w:val="003B22FA"/>
    <w:rsid w:val="003D24D0"/>
    <w:rsid w:val="003E0C91"/>
    <w:rsid w:val="003E1E62"/>
    <w:rsid w:val="003E43FC"/>
    <w:rsid w:val="00411808"/>
    <w:rsid w:val="00411B95"/>
    <w:rsid w:val="004763F4"/>
    <w:rsid w:val="004D0E93"/>
    <w:rsid w:val="004D2215"/>
    <w:rsid w:val="004E26E9"/>
    <w:rsid w:val="004E3CCD"/>
    <w:rsid w:val="004E7186"/>
    <w:rsid w:val="004F2D3F"/>
    <w:rsid w:val="00504641"/>
    <w:rsid w:val="00535243"/>
    <w:rsid w:val="005B45AC"/>
    <w:rsid w:val="005B4EC6"/>
    <w:rsid w:val="005D72FB"/>
    <w:rsid w:val="006030B4"/>
    <w:rsid w:val="00615673"/>
    <w:rsid w:val="00655D17"/>
    <w:rsid w:val="006606D3"/>
    <w:rsid w:val="00660B61"/>
    <w:rsid w:val="00684B4B"/>
    <w:rsid w:val="006B0BBE"/>
    <w:rsid w:val="00716A47"/>
    <w:rsid w:val="00720943"/>
    <w:rsid w:val="00741541"/>
    <w:rsid w:val="00786B85"/>
    <w:rsid w:val="007947E8"/>
    <w:rsid w:val="007A4641"/>
    <w:rsid w:val="00843EA2"/>
    <w:rsid w:val="0088275A"/>
    <w:rsid w:val="008972FE"/>
    <w:rsid w:val="008A3180"/>
    <w:rsid w:val="008E697E"/>
    <w:rsid w:val="00943466"/>
    <w:rsid w:val="00957919"/>
    <w:rsid w:val="009C7945"/>
    <w:rsid w:val="009D6015"/>
    <w:rsid w:val="009D7936"/>
    <w:rsid w:val="009D7AEE"/>
    <w:rsid w:val="009E267E"/>
    <w:rsid w:val="009E5193"/>
    <w:rsid w:val="009F4DC4"/>
    <w:rsid w:val="009F58AE"/>
    <w:rsid w:val="00A421BA"/>
    <w:rsid w:val="00A5148D"/>
    <w:rsid w:val="00A672DE"/>
    <w:rsid w:val="00A7203B"/>
    <w:rsid w:val="00A73DD5"/>
    <w:rsid w:val="00A745FB"/>
    <w:rsid w:val="00A75CAF"/>
    <w:rsid w:val="00AE12D2"/>
    <w:rsid w:val="00B252ED"/>
    <w:rsid w:val="00B532A8"/>
    <w:rsid w:val="00B60179"/>
    <w:rsid w:val="00B96F33"/>
    <w:rsid w:val="00BA5D5D"/>
    <w:rsid w:val="00BA6559"/>
    <w:rsid w:val="00BB528E"/>
    <w:rsid w:val="00C5084B"/>
    <w:rsid w:val="00D258D0"/>
    <w:rsid w:val="00D31C74"/>
    <w:rsid w:val="00D45F48"/>
    <w:rsid w:val="00D6394B"/>
    <w:rsid w:val="00D767B2"/>
    <w:rsid w:val="00D852BC"/>
    <w:rsid w:val="00D86DA7"/>
    <w:rsid w:val="00DA10C7"/>
    <w:rsid w:val="00DC06C1"/>
    <w:rsid w:val="00E1395F"/>
    <w:rsid w:val="00E6277F"/>
    <w:rsid w:val="00E6582D"/>
    <w:rsid w:val="00EF3723"/>
    <w:rsid w:val="00F02284"/>
    <w:rsid w:val="00F464D6"/>
    <w:rsid w:val="00FC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CACC"/>
  <w15:docId w15:val="{201E0CA7-A627-42D3-836A-8FCCB2C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0D1"/>
    <w:rPr>
      <w:rFonts w:ascii="Tahoma" w:hAnsi="Tahoma" w:cs="Tahoma"/>
      <w:sz w:val="16"/>
      <w:szCs w:val="16"/>
    </w:rPr>
  </w:style>
  <w:style w:type="paragraph" w:styleId="Title">
    <w:name w:val="Title"/>
    <w:basedOn w:val="Normal"/>
    <w:next w:val="Normal"/>
    <w:link w:val="TitleChar"/>
    <w:uiPriority w:val="10"/>
    <w:qFormat/>
    <w:rsid w:val="000B50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50D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B5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D1"/>
  </w:style>
  <w:style w:type="paragraph" w:styleId="Footer">
    <w:name w:val="footer"/>
    <w:basedOn w:val="Normal"/>
    <w:link w:val="FooterChar"/>
    <w:uiPriority w:val="99"/>
    <w:unhideWhenUsed/>
    <w:rsid w:val="000B5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D1"/>
  </w:style>
  <w:style w:type="paragraph" w:styleId="ListParagraph">
    <w:name w:val="List Paragraph"/>
    <w:basedOn w:val="Normal"/>
    <w:uiPriority w:val="34"/>
    <w:qFormat/>
    <w:rsid w:val="00A421BA"/>
    <w:pPr>
      <w:ind w:left="720"/>
      <w:contextualSpacing/>
    </w:pPr>
  </w:style>
  <w:style w:type="paragraph" w:customStyle="1" w:styleId="Default">
    <w:name w:val="Default"/>
    <w:rsid w:val="009C794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409EE"/>
    <w:pPr>
      <w:spacing w:after="0" w:line="240" w:lineRule="auto"/>
    </w:pPr>
  </w:style>
  <w:style w:type="character" w:styleId="Hyperlink">
    <w:name w:val="Hyperlink"/>
    <w:basedOn w:val="DefaultParagraphFont"/>
    <w:uiPriority w:val="99"/>
    <w:unhideWhenUsed/>
    <w:rsid w:val="00DA10C7"/>
    <w:rPr>
      <w:color w:val="0000FF" w:themeColor="hyperlink"/>
      <w:u w:val="single"/>
    </w:rPr>
  </w:style>
  <w:style w:type="character" w:styleId="UnresolvedMention">
    <w:name w:val="Unresolved Mention"/>
    <w:basedOn w:val="DefaultParagraphFont"/>
    <w:uiPriority w:val="99"/>
    <w:semiHidden/>
    <w:unhideWhenUsed/>
    <w:rsid w:val="00DA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2DFD247FE28E48B63989309D0FA42D" ma:contentTypeVersion="13" ma:contentTypeDescription="Create a new document." ma:contentTypeScope="" ma:versionID="63e80852357275430194a062b61b645f">
  <xsd:schema xmlns:xsd="http://www.w3.org/2001/XMLSchema" xmlns:xs="http://www.w3.org/2001/XMLSchema" xmlns:p="http://schemas.microsoft.com/office/2006/metadata/properties" xmlns:ns3="a712be80-2ea5-418c-abd8-e7fbf1b4e532" xmlns:ns4="ee9d132f-5002-471a-9620-959d34f883ba" targetNamespace="http://schemas.microsoft.com/office/2006/metadata/properties" ma:root="true" ma:fieldsID="672b444a192fbf03c97e7a6b51895214" ns3:_="" ns4:_="">
    <xsd:import namespace="a712be80-2ea5-418c-abd8-e7fbf1b4e532"/>
    <xsd:import namespace="ee9d132f-5002-471a-9620-959d34f883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2be80-2ea5-418c-abd8-e7fbf1b4e5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d132f-5002-471a-9620-959d34f883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4571E-5866-49D6-871A-7DFFE4094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29F7A8-F54F-4E1B-B6BC-D44AA04E2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2be80-2ea5-418c-abd8-e7fbf1b4e532"/>
    <ds:schemaRef ds:uri="ee9d132f-5002-471a-9620-959d34f8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16F73-BFA7-4C91-AD50-FE5D2B105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Koning, Hatti A.</dc:creator>
  <cp:lastModifiedBy>Haworth, Jan</cp:lastModifiedBy>
  <cp:revision>11</cp:revision>
  <dcterms:created xsi:type="dcterms:W3CDTF">2023-10-24T14:57:00Z</dcterms:created>
  <dcterms:modified xsi:type="dcterms:W3CDTF">2023-11-29T14:00:00Z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0x010100332DFD247FE28E48B63989309D0FA42D</vt:lpwstr>
  </property>
</Properties>
</file>